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D727" w14:textId="401584DF" w:rsidR="00C47920" w:rsidRPr="00814CF7" w:rsidRDefault="00C47920" w:rsidP="00814CF7">
      <w:pPr>
        <w:pStyle w:val="Heading1"/>
      </w:pPr>
      <w:bookmarkStart w:id="0" w:name="_Toc131393900"/>
      <w:bookmarkStart w:id="1" w:name="_Toc133233867"/>
      <w:bookmarkStart w:id="2" w:name="_Toc139015976"/>
      <w:r w:rsidRPr="00814CF7">
        <w:t>PHARMACO</w:t>
      </w:r>
      <w:r w:rsidR="002B5A00" w:rsidRPr="00814CF7">
        <w:t>KINETICS</w:t>
      </w:r>
      <w:r w:rsidRPr="00814CF7">
        <w:t xml:space="preserve"> WRITTEN SUMMARY</w:t>
      </w:r>
      <w:bookmarkEnd w:id="0"/>
      <w:bookmarkEnd w:id="1"/>
      <w:bookmarkEnd w:id="2"/>
    </w:p>
    <w:p w14:paraId="7B3C14D0" w14:textId="1412838B" w:rsidR="4556CDE7" w:rsidRDefault="4556CDE7" w:rsidP="1CC17640">
      <w:pPr>
        <w:rPr>
          <w:rFonts w:ascii="Times New Roman" w:eastAsia="Times New Roman" w:hAnsi="Times New Roman" w:cs="Times New Roman"/>
          <w:sz w:val="24"/>
          <w:szCs w:val="24"/>
        </w:rPr>
      </w:pPr>
      <w:r w:rsidRPr="575CFB75">
        <w:rPr>
          <w:rFonts w:ascii="Times New Roman" w:eastAsia="Times New Roman" w:hAnsi="Times New Roman" w:cs="Times New Roman"/>
          <w:i/>
          <w:iCs/>
          <w:color w:val="000000" w:themeColor="text1"/>
          <w:sz w:val="24"/>
          <w:szCs w:val="24"/>
          <w:highlight w:val="yellow"/>
        </w:rPr>
        <w:t>Delete this explanatory text prior to submission.</w:t>
      </w:r>
      <w:r w:rsidRPr="575CFB75">
        <w:rPr>
          <w:rFonts w:ascii="Times New Roman" w:eastAsia="Times New Roman" w:hAnsi="Times New Roman" w:cs="Times New Roman"/>
          <w:i/>
          <w:iCs/>
          <w:color w:val="000000" w:themeColor="text1"/>
          <w:sz w:val="24"/>
          <w:szCs w:val="24"/>
          <w:highlight w:val="yellow"/>
          <w:lang w:val="en-GB"/>
        </w:rPr>
        <w:t xml:space="preserve"> When edits are complete, convert this document to a PDF, following the guidelines available in </w:t>
      </w:r>
      <w:hyperlink r:id="rId10">
        <w:r w:rsidRPr="575CFB75">
          <w:rPr>
            <w:rStyle w:val="Hyperlink"/>
            <w:rFonts w:ascii="Times New Roman" w:eastAsia="Times New Roman" w:hAnsi="Times New Roman" w:cs="Times New Roman"/>
            <w:i/>
            <w:iCs/>
            <w:sz w:val="24"/>
            <w:szCs w:val="24"/>
            <w:highlight w:val="yellow"/>
            <w:lang w:val="en-GB"/>
          </w:rPr>
          <w:t>PDF Specifications</w:t>
        </w:r>
      </w:hyperlink>
      <w:r w:rsidRPr="575CFB75">
        <w:rPr>
          <w:rFonts w:ascii="Times New Roman" w:eastAsia="Times New Roman" w:hAnsi="Times New Roman" w:cs="Times New Roman"/>
          <w:i/>
          <w:iCs/>
          <w:color w:val="000000" w:themeColor="text1"/>
          <w:sz w:val="24"/>
          <w:szCs w:val="24"/>
          <w:highlight w:val="yellow"/>
          <w:lang w:val="en-GB"/>
        </w:rPr>
        <w:t xml:space="preserve"> (published September 2016).</w:t>
      </w:r>
      <w:bookmarkStart w:id="3" w:name="_Toc131393901"/>
      <w:bookmarkStart w:id="4" w:name="_Toc133233868"/>
      <w:bookmarkStart w:id="5" w:name="_Toc139015977"/>
    </w:p>
    <w:p w14:paraId="750030A3" w14:textId="350C1AB4" w:rsidR="00BE5446" w:rsidRPr="00CA1C6C" w:rsidRDefault="00BF3DE1" w:rsidP="0095246B">
      <w:pPr>
        <w:rPr>
          <w:rFonts w:ascii="Times New Roman" w:hAnsi="Times New Roman" w:cs="Times New Roman"/>
          <w:i/>
          <w:iCs/>
          <w:sz w:val="24"/>
          <w:szCs w:val="24"/>
          <w:highlight w:val="yellow"/>
        </w:rPr>
      </w:pPr>
      <w:r w:rsidRPr="00CA1C6C">
        <w:rPr>
          <w:rFonts w:ascii="Times New Roman" w:hAnsi="Times New Roman" w:cs="Times New Roman"/>
          <w:i/>
          <w:iCs/>
          <w:sz w:val="24"/>
          <w:szCs w:val="24"/>
          <w:highlight w:val="yellow"/>
        </w:rPr>
        <w:t>These written summaries should be composed mainly of text, but inclusion of tables and figures</w:t>
      </w:r>
      <w:r w:rsidR="0069067D" w:rsidRPr="00CA1C6C">
        <w:rPr>
          <w:rFonts w:ascii="Times New Roman" w:hAnsi="Times New Roman" w:cs="Times New Roman"/>
          <w:i/>
          <w:iCs/>
          <w:sz w:val="24"/>
          <w:szCs w:val="24"/>
          <w:highlight w:val="yellow"/>
        </w:rPr>
        <w:t xml:space="preserve"> </w:t>
      </w:r>
      <w:r w:rsidR="00E657EB" w:rsidRPr="00CA1C6C">
        <w:rPr>
          <w:rFonts w:ascii="Times New Roman" w:hAnsi="Times New Roman" w:cs="Times New Roman"/>
          <w:i/>
          <w:iCs/>
          <w:sz w:val="24"/>
          <w:szCs w:val="24"/>
          <w:highlight w:val="yellow"/>
        </w:rPr>
        <w:t xml:space="preserve">within the text body </w:t>
      </w:r>
      <w:r w:rsidR="0006578D" w:rsidRPr="00CA1C6C">
        <w:rPr>
          <w:rFonts w:ascii="Times New Roman" w:hAnsi="Times New Roman" w:cs="Times New Roman"/>
          <w:i/>
          <w:iCs/>
          <w:sz w:val="24"/>
          <w:szCs w:val="24"/>
          <w:highlight w:val="yellow"/>
        </w:rPr>
        <w:t>to more effectively convey certain information</w:t>
      </w:r>
      <w:r w:rsidR="002E3802" w:rsidRPr="00CA1C6C">
        <w:rPr>
          <w:rFonts w:ascii="Times New Roman" w:hAnsi="Times New Roman" w:cs="Times New Roman"/>
          <w:i/>
          <w:iCs/>
          <w:sz w:val="24"/>
          <w:szCs w:val="24"/>
          <w:highlight w:val="yellow"/>
        </w:rPr>
        <w:t xml:space="preserve"> is</w:t>
      </w:r>
      <w:r w:rsidR="00DF5446" w:rsidRPr="00CA1C6C">
        <w:rPr>
          <w:rFonts w:ascii="Times New Roman" w:hAnsi="Times New Roman" w:cs="Times New Roman"/>
          <w:i/>
          <w:iCs/>
          <w:sz w:val="24"/>
          <w:szCs w:val="24"/>
          <w:highlight w:val="yellow"/>
        </w:rPr>
        <w:t xml:space="preserve"> acceptable</w:t>
      </w:r>
      <w:r w:rsidR="0095246B">
        <w:rPr>
          <w:rFonts w:ascii="Times New Roman" w:hAnsi="Times New Roman" w:cs="Times New Roman"/>
          <w:i/>
          <w:iCs/>
          <w:sz w:val="24"/>
          <w:szCs w:val="24"/>
          <w:highlight w:val="yellow"/>
        </w:rPr>
        <w:t>.</w:t>
      </w:r>
      <w:r w:rsidR="0095246B" w:rsidRPr="0095246B">
        <w:rPr>
          <w:rFonts w:ascii="Times New Roman" w:hAnsi="Times New Roman" w:cs="Times New Roman"/>
          <w:i/>
          <w:iCs/>
          <w:sz w:val="24"/>
          <w:szCs w:val="24"/>
          <w:highlight w:val="yellow"/>
        </w:rPr>
        <w:t xml:space="preserve"> </w:t>
      </w:r>
      <w:r w:rsidR="0095246B" w:rsidRPr="004C3630">
        <w:rPr>
          <w:rFonts w:ascii="Times New Roman" w:hAnsi="Times New Roman" w:cs="Times New Roman"/>
          <w:i/>
          <w:iCs/>
          <w:sz w:val="24"/>
          <w:szCs w:val="24"/>
          <w:highlight w:val="yellow"/>
        </w:rPr>
        <w:t>Tables and figures may be included at appropriate points throughout the text, or at the end of this document (Section 2.6.</w:t>
      </w:r>
      <w:r w:rsidR="0095246B">
        <w:rPr>
          <w:rFonts w:ascii="Times New Roman" w:hAnsi="Times New Roman" w:cs="Times New Roman"/>
          <w:i/>
          <w:iCs/>
          <w:sz w:val="24"/>
          <w:szCs w:val="24"/>
          <w:highlight w:val="yellow"/>
        </w:rPr>
        <w:t>4</w:t>
      </w:r>
      <w:r w:rsidR="0095246B" w:rsidRPr="004C3630">
        <w:rPr>
          <w:rFonts w:ascii="Times New Roman" w:hAnsi="Times New Roman" w:cs="Times New Roman"/>
          <w:i/>
          <w:iCs/>
          <w:sz w:val="24"/>
          <w:szCs w:val="24"/>
          <w:highlight w:val="yellow"/>
        </w:rPr>
        <w:t>.</w:t>
      </w:r>
      <w:r w:rsidR="0095246B">
        <w:rPr>
          <w:rFonts w:ascii="Times New Roman" w:hAnsi="Times New Roman" w:cs="Times New Roman"/>
          <w:i/>
          <w:iCs/>
          <w:sz w:val="24"/>
          <w:szCs w:val="24"/>
          <w:highlight w:val="yellow"/>
        </w:rPr>
        <w:t>10</w:t>
      </w:r>
      <w:r w:rsidR="0095246B" w:rsidRPr="004C3630">
        <w:rPr>
          <w:rFonts w:ascii="Times New Roman" w:hAnsi="Times New Roman" w:cs="Times New Roman"/>
          <w:i/>
          <w:iCs/>
          <w:sz w:val="24"/>
          <w:szCs w:val="24"/>
          <w:highlight w:val="yellow"/>
        </w:rPr>
        <w:t>) if desired.</w:t>
      </w:r>
      <w:r w:rsidR="0095246B">
        <w:rPr>
          <w:rFonts w:ascii="Times New Roman" w:hAnsi="Times New Roman" w:cs="Times New Roman"/>
          <w:i/>
          <w:iCs/>
          <w:sz w:val="24"/>
          <w:szCs w:val="24"/>
          <w:highlight w:val="yellow"/>
        </w:rPr>
        <w:t xml:space="preserve"> Additional guidance to complete this section is available in the ICH guideline on </w:t>
      </w:r>
      <w:hyperlink r:id="rId11" w:history="1">
        <w:r w:rsidR="0095246B" w:rsidRPr="001C49E8">
          <w:rPr>
            <w:rStyle w:val="Hyperlink"/>
            <w:rFonts w:ascii="Times New Roman" w:hAnsi="Times New Roman" w:cs="Times New Roman"/>
            <w:i/>
            <w:iCs/>
            <w:sz w:val="24"/>
            <w:szCs w:val="24"/>
            <w:highlight w:val="yellow"/>
          </w:rPr>
          <w:t>SAFETY – M4S(R2)</w:t>
        </w:r>
      </w:hyperlink>
      <w:r w:rsidR="0095246B">
        <w:rPr>
          <w:rFonts w:ascii="Times New Roman" w:hAnsi="Times New Roman" w:cs="Times New Roman"/>
          <w:i/>
          <w:iCs/>
          <w:sz w:val="24"/>
          <w:szCs w:val="24"/>
          <w:highlight w:val="yellow"/>
        </w:rPr>
        <w:t xml:space="preserve">, or the FDA </w:t>
      </w:r>
      <w:hyperlink r:id="rId12" w:history="1">
        <w:r w:rsidR="0095246B" w:rsidRPr="002E1372">
          <w:rPr>
            <w:rStyle w:val="Hyperlink"/>
            <w:rFonts w:ascii="Times New Roman" w:hAnsi="Times New Roman" w:cs="Times New Roman"/>
            <w:i/>
            <w:iCs/>
            <w:sz w:val="24"/>
            <w:szCs w:val="24"/>
            <w:highlight w:val="yellow"/>
          </w:rPr>
          <w:t>Guidance for Industry M4S: The CTD — Safety</w:t>
        </w:r>
      </w:hyperlink>
      <w:r w:rsidR="0095246B">
        <w:rPr>
          <w:rFonts w:ascii="Times New Roman" w:hAnsi="Times New Roman" w:cs="Times New Roman"/>
          <w:i/>
          <w:iCs/>
          <w:sz w:val="24"/>
          <w:szCs w:val="24"/>
          <w:highlight w:val="yellow"/>
        </w:rPr>
        <w:t>.</w:t>
      </w:r>
      <w:r w:rsidR="0095246B" w:rsidRPr="002E1372">
        <w:rPr>
          <w:rFonts w:ascii="Times New Roman" w:hAnsi="Times New Roman" w:cs="Times New Roman"/>
          <w:i/>
          <w:iCs/>
          <w:sz w:val="24"/>
          <w:szCs w:val="24"/>
          <w:highlight w:val="yellow"/>
        </w:rPr>
        <w:t xml:space="preserve">  </w:t>
      </w:r>
    </w:p>
    <w:p w14:paraId="05DBF268" w14:textId="4CCB7460" w:rsidR="006C1FF6" w:rsidRPr="00CA1C6C" w:rsidRDefault="006C1FF6" w:rsidP="56977846">
      <w:pPr>
        <w:spacing w:before="160" w:after="80"/>
        <w:rPr>
          <w:rFonts w:ascii="Times New Roman" w:hAnsi="Times New Roman" w:cs="Times New Roman"/>
          <w:i/>
          <w:iCs/>
          <w:sz w:val="32"/>
          <w:szCs w:val="32"/>
        </w:rPr>
      </w:pPr>
      <w:r w:rsidRPr="56977846">
        <w:rPr>
          <w:rFonts w:ascii="Times New Roman" w:hAnsi="Times New Roman" w:cs="Times New Roman"/>
          <w:i/>
          <w:iCs/>
          <w:sz w:val="24"/>
          <w:szCs w:val="24"/>
          <w:highlight w:val="yellow"/>
        </w:rPr>
        <w:t>Consider inserting a table of contents to aid the FDA reviewer in the organization of this document, as well as tables of abbreviations used, and a table of tables and figures. Delete any sections below that do not apply to your product (i.e. don’t include empty sections).</w:t>
      </w:r>
    </w:p>
    <w:bookmarkEnd w:id="3"/>
    <w:bookmarkEnd w:id="4"/>
    <w:bookmarkEnd w:id="5"/>
    <w:p w14:paraId="12DCE01E" w14:textId="6603EAF8" w:rsidR="00C47920" w:rsidRPr="00814CF7" w:rsidRDefault="55986E67" w:rsidP="00814CF7">
      <w:pPr>
        <w:pStyle w:val="Heading2"/>
      </w:pPr>
      <w:r w:rsidRPr="00814CF7">
        <w:t xml:space="preserve">Brief </w:t>
      </w:r>
      <w:r w:rsidR="00EF529C" w:rsidRPr="00814CF7">
        <w:t>Summary</w:t>
      </w:r>
    </w:p>
    <w:p w14:paraId="3E8E966C" w14:textId="64ABD575" w:rsidR="00C47920" w:rsidRPr="00317B8E" w:rsidRDefault="00C47920" w:rsidP="009D7587">
      <w:pPr>
        <w:spacing w:before="160" w:after="80"/>
        <w:contextualSpacing/>
        <w:rPr>
          <w:rFonts w:ascii="Times New Roman" w:hAnsi="Times New Roman" w:cs="Times New Roman"/>
          <w:i/>
          <w:iCs/>
          <w:sz w:val="24"/>
          <w:szCs w:val="24"/>
        </w:rPr>
      </w:pPr>
      <w:r w:rsidRPr="00317B8E">
        <w:rPr>
          <w:rFonts w:ascii="Times New Roman" w:hAnsi="Times New Roman" w:cs="Times New Roman"/>
          <w:i/>
          <w:iCs/>
          <w:sz w:val="24"/>
          <w:szCs w:val="24"/>
          <w:highlight w:val="yellow"/>
        </w:rPr>
        <w:t xml:space="preserve">In this section, your goal is to provide the FDA with </w:t>
      </w:r>
      <w:r w:rsidR="00B3069E" w:rsidRPr="00317B8E">
        <w:rPr>
          <w:rFonts w:ascii="Times New Roman" w:hAnsi="Times New Roman" w:cs="Times New Roman"/>
          <w:i/>
          <w:iCs/>
          <w:sz w:val="24"/>
          <w:szCs w:val="24"/>
          <w:highlight w:val="yellow"/>
        </w:rPr>
        <w:t>a summary</w:t>
      </w:r>
      <w:r w:rsidRPr="00317B8E">
        <w:rPr>
          <w:rFonts w:ascii="Times New Roman" w:hAnsi="Times New Roman" w:cs="Times New Roman"/>
          <w:i/>
          <w:iCs/>
          <w:sz w:val="24"/>
          <w:szCs w:val="24"/>
          <w:highlight w:val="yellow"/>
        </w:rPr>
        <w:t xml:space="preserve"> of your key findings from the pharmaco</w:t>
      </w:r>
      <w:r w:rsidR="005F7A8E" w:rsidRPr="00317B8E">
        <w:rPr>
          <w:rFonts w:ascii="Times New Roman" w:hAnsi="Times New Roman" w:cs="Times New Roman"/>
          <w:i/>
          <w:iCs/>
          <w:sz w:val="24"/>
          <w:szCs w:val="24"/>
          <w:highlight w:val="yellow"/>
        </w:rPr>
        <w:t>kinetics</w:t>
      </w:r>
      <w:r w:rsidRPr="00317B8E">
        <w:rPr>
          <w:rFonts w:ascii="Times New Roman" w:hAnsi="Times New Roman" w:cs="Times New Roman"/>
          <w:i/>
          <w:iCs/>
          <w:sz w:val="24"/>
          <w:szCs w:val="24"/>
          <w:highlight w:val="yellow"/>
        </w:rPr>
        <w:t xml:space="preserve"> studies for your product. (Keep it to 2-3 pages). Consider starting with a brief description of the </w:t>
      </w:r>
      <w:r w:rsidR="00D54449" w:rsidRPr="00317B8E">
        <w:rPr>
          <w:rFonts w:ascii="Times New Roman" w:hAnsi="Times New Roman" w:cs="Times New Roman"/>
          <w:i/>
          <w:iCs/>
          <w:sz w:val="24"/>
          <w:szCs w:val="24"/>
          <w:highlight w:val="yellow"/>
        </w:rPr>
        <w:t>scope of pharmacokinetic evaluation</w:t>
      </w:r>
      <w:r w:rsidR="00A42AEE" w:rsidRPr="00317B8E">
        <w:rPr>
          <w:rFonts w:ascii="Times New Roman" w:hAnsi="Times New Roman" w:cs="Times New Roman"/>
          <w:i/>
          <w:iCs/>
          <w:sz w:val="24"/>
          <w:szCs w:val="24"/>
          <w:highlight w:val="yellow"/>
        </w:rPr>
        <w:t xml:space="preserve">, including information such as whether the species and strains </w:t>
      </w:r>
      <w:r w:rsidR="004D3222" w:rsidRPr="00317B8E">
        <w:rPr>
          <w:rFonts w:ascii="Times New Roman" w:hAnsi="Times New Roman" w:cs="Times New Roman"/>
          <w:i/>
          <w:iCs/>
          <w:sz w:val="24"/>
          <w:szCs w:val="24"/>
          <w:highlight w:val="yellow"/>
        </w:rPr>
        <w:t>were also used in the pharmacology and toxicology sections, and whether the formulations used were the same or different.</w:t>
      </w:r>
    </w:p>
    <w:p w14:paraId="7F2D778F" w14:textId="368FC3B9" w:rsidR="00C47920" w:rsidRPr="00317B8E" w:rsidRDefault="004D3222" w:rsidP="00814CF7">
      <w:pPr>
        <w:pStyle w:val="Heading2"/>
      </w:pPr>
      <w:r w:rsidRPr="00317B8E">
        <w:t>Methods of Analysis</w:t>
      </w:r>
    </w:p>
    <w:p w14:paraId="0E50B059" w14:textId="01380A7E" w:rsidR="00C47920" w:rsidRPr="00317B8E" w:rsidRDefault="001F55BE" w:rsidP="009D7587">
      <w:pPr>
        <w:spacing w:before="160" w:after="80"/>
        <w:contextualSpacing/>
        <w:rPr>
          <w:rFonts w:ascii="Times New Roman" w:hAnsi="Times New Roman" w:cs="Times New Roman"/>
          <w:i/>
          <w:iCs/>
          <w:sz w:val="24"/>
          <w:szCs w:val="24"/>
        </w:rPr>
      </w:pPr>
      <w:r w:rsidRPr="00317B8E">
        <w:rPr>
          <w:rFonts w:ascii="Times New Roman" w:hAnsi="Times New Roman" w:cs="Times New Roman"/>
          <w:i/>
          <w:iCs/>
          <w:sz w:val="24"/>
          <w:szCs w:val="24"/>
          <w:highlight w:val="yellow"/>
        </w:rPr>
        <w:t>This section should contain a brief summary of the methods of analysis for biological samples, including the detection and quantification limits of an analytical procedure.  If possible, validation data for the analytical method and stability of biological samples should be discussed in this section.  The potential impact of different methods of analysis on the interpretation of the results should be discussed in the following relevant sections.</w:t>
      </w:r>
      <w:r w:rsidR="00790E7D" w:rsidRPr="00317B8E">
        <w:rPr>
          <w:rFonts w:ascii="Times New Roman" w:hAnsi="Times New Roman" w:cs="Times New Roman"/>
          <w:i/>
          <w:iCs/>
          <w:sz w:val="24"/>
          <w:szCs w:val="24"/>
        </w:rPr>
        <w:t xml:space="preserve"> </w:t>
      </w:r>
      <w:r w:rsidR="00C47920" w:rsidRPr="00317B8E">
        <w:rPr>
          <w:rFonts w:ascii="Times New Roman" w:hAnsi="Times New Roman" w:cs="Times New Roman"/>
          <w:i/>
          <w:iCs/>
          <w:sz w:val="24"/>
          <w:szCs w:val="24"/>
        </w:rPr>
        <w:t xml:space="preserve"> </w:t>
      </w:r>
    </w:p>
    <w:p w14:paraId="488A0280" w14:textId="4A0FE1F1" w:rsidR="00C47920" w:rsidRPr="00317B8E" w:rsidRDefault="001F55BE" w:rsidP="00814CF7">
      <w:pPr>
        <w:pStyle w:val="Heading2"/>
      </w:pPr>
      <w:r w:rsidRPr="00317B8E">
        <w:t>Absorption</w:t>
      </w:r>
    </w:p>
    <w:p w14:paraId="5BB35846" w14:textId="06EB3423" w:rsidR="003710BC" w:rsidRPr="00317B8E" w:rsidRDefault="003710BC" w:rsidP="009D7587">
      <w:pPr>
        <w:spacing w:before="160" w:after="80"/>
        <w:contextualSpacing/>
        <w:rPr>
          <w:rFonts w:ascii="Times New Roman" w:hAnsi="Times New Roman" w:cs="Times New Roman"/>
          <w:i/>
          <w:iCs/>
          <w:sz w:val="24"/>
          <w:szCs w:val="24"/>
          <w:highlight w:val="yellow"/>
        </w:rPr>
      </w:pPr>
      <w:r w:rsidRPr="00317B8E">
        <w:rPr>
          <w:rFonts w:ascii="Times New Roman" w:hAnsi="Times New Roman" w:cs="Times New Roman"/>
          <w:i/>
          <w:iCs/>
          <w:sz w:val="24"/>
          <w:szCs w:val="24"/>
          <w:highlight w:val="yellow"/>
        </w:rPr>
        <w:t xml:space="preserve">The following data should be summarized in this section: </w:t>
      </w:r>
    </w:p>
    <w:p w14:paraId="789A435E" w14:textId="0772BB5D" w:rsidR="003710BC" w:rsidRPr="00317B8E" w:rsidRDefault="003710BC" w:rsidP="009D7587">
      <w:pPr>
        <w:pStyle w:val="ListParagraph"/>
        <w:numPr>
          <w:ilvl w:val="0"/>
          <w:numId w:val="12"/>
        </w:numPr>
        <w:spacing w:before="160" w:after="80"/>
        <w:rPr>
          <w:rFonts w:ascii="Times New Roman" w:hAnsi="Times New Roman" w:cs="Times New Roman"/>
          <w:i/>
          <w:iCs/>
          <w:sz w:val="24"/>
          <w:szCs w:val="24"/>
          <w:highlight w:val="yellow"/>
        </w:rPr>
      </w:pPr>
      <w:r w:rsidRPr="00317B8E">
        <w:rPr>
          <w:rFonts w:ascii="Times New Roman" w:hAnsi="Times New Roman" w:cs="Times New Roman"/>
          <w:i/>
          <w:iCs/>
          <w:sz w:val="24"/>
          <w:szCs w:val="24"/>
          <w:highlight w:val="yellow"/>
        </w:rPr>
        <w:t xml:space="preserve">Absorption (extent and rate of absorption, in vivo and in situ studies) </w:t>
      </w:r>
    </w:p>
    <w:p w14:paraId="718EBCDE" w14:textId="7B9554F0" w:rsidR="00C47920" w:rsidRPr="00317B8E" w:rsidRDefault="003710BC" w:rsidP="009D7587">
      <w:pPr>
        <w:pStyle w:val="ListParagraph"/>
        <w:numPr>
          <w:ilvl w:val="0"/>
          <w:numId w:val="12"/>
        </w:numPr>
        <w:spacing w:before="160" w:after="80"/>
        <w:rPr>
          <w:rFonts w:ascii="Times New Roman" w:hAnsi="Times New Roman" w:cs="Times New Roman"/>
          <w:i/>
          <w:iCs/>
          <w:sz w:val="24"/>
          <w:szCs w:val="24"/>
          <w:highlight w:val="yellow"/>
        </w:rPr>
      </w:pPr>
      <w:r w:rsidRPr="00317B8E">
        <w:rPr>
          <w:rFonts w:ascii="Times New Roman" w:hAnsi="Times New Roman" w:cs="Times New Roman"/>
          <w:i/>
          <w:iCs/>
          <w:sz w:val="24"/>
          <w:szCs w:val="24"/>
          <w:highlight w:val="yellow"/>
        </w:rPr>
        <w:t xml:space="preserve">Kinetic parameters, bioequivalence and/or bioavailability (serum/plasma/blood PK studies) </w:t>
      </w:r>
    </w:p>
    <w:p w14:paraId="0BF07EB9" w14:textId="4A1342FA" w:rsidR="00C47920" w:rsidRPr="00317B8E" w:rsidRDefault="001F55BE" w:rsidP="00814CF7">
      <w:pPr>
        <w:pStyle w:val="Heading2"/>
      </w:pPr>
      <w:r w:rsidRPr="00317B8E">
        <w:t>Distribution</w:t>
      </w:r>
    </w:p>
    <w:p w14:paraId="38466D3B" w14:textId="77777777" w:rsidR="005C0823" w:rsidRPr="00317B8E" w:rsidRDefault="005C0823" w:rsidP="009D7587">
      <w:pPr>
        <w:spacing w:before="160" w:after="80"/>
        <w:contextualSpacing/>
        <w:rPr>
          <w:rFonts w:ascii="Times New Roman" w:hAnsi="Times New Roman" w:cs="Times New Roman"/>
          <w:i/>
          <w:iCs/>
          <w:sz w:val="24"/>
          <w:szCs w:val="24"/>
          <w:highlight w:val="yellow"/>
        </w:rPr>
      </w:pPr>
      <w:r w:rsidRPr="00317B8E">
        <w:rPr>
          <w:rFonts w:ascii="Times New Roman" w:hAnsi="Times New Roman" w:cs="Times New Roman"/>
          <w:i/>
          <w:iCs/>
          <w:sz w:val="24"/>
          <w:szCs w:val="24"/>
          <w:highlight w:val="yellow"/>
        </w:rPr>
        <w:t xml:space="preserve">The following data should be summarized in this section: </w:t>
      </w:r>
    </w:p>
    <w:p w14:paraId="2C9B5EBD" w14:textId="1D1831AF" w:rsidR="005C0823" w:rsidRPr="00317B8E" w:rsidRDefault="005C0823" w:rsidP="009D7587">
      <w:pPr>
        <w:pStyle w:val="ListParagraph"/>
        <w:numPr>
          <w:ilvl w:val="0"/>
          <w:numId w:val="13"/>
        </w:numPr>
        <w:spacing w:before="160" w:after="80"/>
        <w:rPr>
          <w:rFonts w:ascii="Times New Roman" w:hAnsi="Times New Roman" w:cs="Times New Roman"/>
          <w:i/>
          <w:iCs/>
          <w:sz w:val="24"/>
          <w:szCs w:val="24"/>
          <w:highlight w:val="yellow"/>
        </w:rPr>
      </w:pPr>
      <w:r w:rsidRPr="00317B8E">
        <w:rPr>
          <w:rFonts w:ascii="Times New Roman" w:hAnsi="Times New Roman" w:cs="Times New Roman"/>
          <w:i/>
          <w:iCs/>
          <w:sz w:val="24"/>
          <w:szCs w:val="24"/>
          <w:highlight w:val="yellow"/>
        </w:rPr>
        <w:t xml:space="preserve">Tissue distribution studies </w:t>
      </w:r>
    </w:p>
    <w:p w14:paraId="7078E742" w14:textId="0394CA80" w:rsidR="005C0823" w:rsidRPr="00317B8E" w:rsidRDefault="005C0823" w:rsidP="009D7587">
      <w:pPr>
        <w:pStyle w:val="ListParagraph"/>
        <w:numPr>
          <w:ilvl w:val="0"/>
          <w:numId w:val="13"/>
        </w:numPr>
        <w:spacing w:before="160" w:after="80"/>
        <w:rPr>
          <w:rFonts w:ascii="Times New Roman" w:hAnsi="Times New Roman" w:cs="Times New Roman"/>
          <w:i/>
          <w:iCs/>
          <w:sz w:val="24"/>
          <w:szCs w:val="24"/>
          <w:highlight w:val="yellow"/>
        </w:rPr>
      </w:pPr>
      <w:r w:rsidRPr="00317B8E">
        <w:rPr>
          <w:rFonts w:ascii="Times New Roman" w:hAnsi="Times New Roman" w:cs="Times New Roman"/>
          <w:i/>
          <w:iCs/>
          <w:sz w:val="24"/>
          <w:szCs w:val="24"/>
          <w:highlight w:val="yellow"/>
        </w:rPr>
        <w:t xml:space="preserve">Protein binding and distribution in blood cells </w:t>
      </w:r>
    </w:p>
    <w:p w14:paraId="0450786F" w14:textId="0996A771" w:rsidR="00A954A6" w:rsidRDefault="005C0823" w:rsidP="00A954A6">
      <w:pPr>
        <w:pStyle w:val="ListParagraph"/>
        <w:numPr>
          <w:ilvl w:val="0"/>
          <w:numId w:val="13"/>
        </w:numPr>
        <w:spacing w:before="160" w:after="80"/>
        <w:rPr>
          <w:rFonts w:ascii="Times New Roman" w:hAnsi="Times New Roman" w:cs="Times New Roman"/>
          <w:i/>
          <w:iCs/>
          <w:sz w:val="24"/>
          <w:szCs w:val="24"/>
          <w:highlight w:val="yellow"/>
        </w:rPr>
      </w:pPr>
      <w:r w:rsidRPr="00317B8E">
        <w:rPr>
          <w:rFonts w:ascii="Times New Roman" w:hAnsi="Times New Roman" w:cs="Times New Roman"/>
          <w:i/>
          <w:iCs/>
          <w:sz w:val="24"/>
          <w:szCs w:val="24"/>
          <w:highlight w:val="yellow"/>
        </w:rPr>
        <w:t xml:space="preserve">Placental transfer studies </w:t>
      </w:r>
    </w:p>
    <w:p w14:paraId="378D22CC" w14:textId="77777777" w:rsidR="00A954A6" w:rsidRPr="00A954A6" w:rsidRDefault="00A954A6" w:rsidP="00A954A6">
      <w:pPr>
        <w:spacing w:before="160" w:after="80"/>
        <w:rPr>
          <w:rFonts w:ascii="Times New Roman" w:hAnsi="Times New Roman" w:cs="Times New Roman"/>
          <w:i/>
          <w:iCs/>
          <w:sz w:val="24"/>
          <w:szCs w:val="24"/>
          <w:highlight w:val="yellow"/>
        </w:rPr>
      </w:pPr>
    </w:p>
    <w:p w14:paraId="66C0005E" w14:textId="6C376CF4" w:rsidR="00C47920" w:rsidRPr="00317B8E" w:rsidRDefault="001F55BE" w:rsidP="00814CF7">
      <w:pPr>
        <w:pStyle w:val="Heading2"/>
      </w:pPr>
      <w:r w:rsidRPr="00317B8E">
        <w:lastRenderedPageBreak/>
        <w:t>Metabolism (interspecies comparison)</w:t>
      </w:r>
    </w:p>
    <w:p w14:paraId="59FBF26E" w14:textId="77777777" w:rsidR="00C8774C" w:rsidRPr="00317B8E" w:rsidRDefault="00C8774C" w:rsidP="009D7587">
      <w:pPr>
        <w:spacing w:before="160" w:after="80"/>
        <w:contextualSpacing/>
        <w:rPr>
          <w:rFonts w:ascii="Times New Roman" w:hAnsi="Times New Roman" w:cs="Times New Roman"/>
          <w:i/>
          <w:iCs/>
          <w:sz w:val="24"/>
          <w:szCs w:val="24"/>
          <w:highlight w:val="yellow"/>
        </w:rPr>
      </w:pPr>
      <w:r w:rsidRPr="00317B8E">
        <w:rPr>
          <w:rFonts w:ascii="Times New Roman" w:hAnsi="Times New Roman" w:cs="Times New Roman"/>
          <w:i/>
          <w:iCs/>
          <w:sz w:val="24"/>
          <w:szCs w:val="24"/>
          <w:highlight w:val="yellow"/>
        </w:rPr>
        <w:t xml:space="preserve">The following data should be summarized in this section: </w:t>
      </w:r>
    </w:p>
    <w:p w14:paraId="05A49062" w14:textId="544313EF" w:rsidR="00C8774C" w:rsidRPr="00317B8E" w:rsidRDefault="00C8774C" w:rsidP="009D7587">
      <w:pPr>
        <w:pStyle w:val="ListParagraph"/>
        <w:numPr>
          <w:ilvl w:val="0"/>
          <w:numId w:val="11"/>
        </w:numPr>
        <w:spacing w:before="160" w:after="80"/>
        <w:rPr>
          <w:rFonts w:ascii="Times New Roman" w:hAnsi="Times New Roman" w:cs="Times New Roman"/>
          <w:i/>
          <w:iCs/>
          <w:sz w:val="24"/>
          <w:szCs w:val="24"/>
          <w:highlight w:val="yellow"/>
        </w:rPr>
      </w:pPr>
      <w:r w:rsidRPr="00317B8E">
        <w:rPr>
          <w:rFonts w:ascii="Times New Roman" w:hAnsi="Times New Roman" w:cs="Times New Roman"/>
          <w:i/>
          <w:iCs/>
          <w:sz w:val="24"/>
          <w:szCs w:val="24"/>
          <w:highlight w:val="yellow"/>
        </w:rPr>
        <w:t xml:space="preserve">Chemical structures and quantities of metabolites in biological samples </w:t>
      </w:r>
    </w:p>
    <w:p w14:paraId="5F59CD89" w14:textId="0CBF1CBC" w:rsidR="00C8774C" w:rsidRPr="00317B8E" w:rsidRDefault="00C8774C" w:rsidP="009D7587">
      <w:pPr>
        <w:pStyle w:val="ListParagraph"/>
        <w:numPr>
          <w:ilvl w:val="0"/>
          <w:numId w:val="11"/>
        </w:numPr>
        <w:spacing w:before="160" w:after="80"/>
        <w:rPr>
          <w:rFonts w:ascii="Times New Roman" w:hAnsi="Times New Roman" w:cs="Times New Roman"/>
          <w:i/>
          <w:iCs/>
          <w:sz w:val="24"/>
          <w:szCs w:val="24"/>
          <w:highlight w:val="yellow"/>
        </w:rPr>
      </w:pPr>
      <w:r w:rsidRPr="00317B8E">
        <w:rPr>
          <w:rFonts w:ascii="Times New Roman" w:hAnsi="Times New Roman" w:cs="Times New Roman"/>
          <w:i/>
          <w:iCs/>
          <w:sz w:val="24"/>
          <w:szCs w:val="24"/>
          <w:highlight w:val="yellow"/>
        </w:rPr>
        <w:t xml:space="preserve">Possible metabolic pathways </w:t>
      </w:r>
    </w:p>
    <w:p w14:paraId="071B0922" w14:textId="03B5FF24" w:rsidR="00C8774C" w:rsidRPr="00317B8E" w:rsidRDefault="00C8774C" w:rsidP="009D7587">
      <w:pPr>
        <w:pStyle w:val="ListParagraph"/>
        <w:numPr>
          <w:ilvl w:val="0"/>
          <w:numId w:val="11"/>
        </w:numPr>
        <w:spacing w:before="160" w:after="80"/>
        <w:rPr>
          <w:rFonts w:ascii="Times New Roman" w:hAnsi="Times New Roman" w:cs="Times New Roman"/>
          <w:i/>
          <w:iCs/>
          <w:sz w:val="24"/>
          <w:szCs w:val="24"/>
          <w:highlight w:val="yellow"/>
        </w:rPr>
      </w:pPr>
      <w:r w:rsidRPr="00317B8E">
        <w:rPr>
          <w:rFonts w:ascii="Times New Roman" w:hAnsi="Times New Roman" w:cs="Times New Roman"/>
          <w:i/>
          <w:iCs/>
          <w:sz w:val="24"/>
          <w:szCs w:val="24"/>
          <w:highlight w:val="yellow"/>
        </w:rPr>
        <w:t xml:space="preserve">Pre-systemic metabolism (GI/hepatic first-pass effects) </w:t>
      </w:r>
    </w:p>
    <w:p w14:paraId="556DC925" w14:textId="2627F123" w:rsidR="00C8774C" w:rsidRPr="00317B8E" w:rsidRDefault="00C8774C" w:rsidP="009D7587">
      <w:pPr>
        <w:pStyle w:val="ListParagraph"/>
        <w:numPr>
          <w:ilvl w:val="0"/>
          <w:numId w:val="11"/>
        </w:numPr>
        <w:spacing w:before="160" w:after="80"/>
        <w:rPr>
          <w:rFonts w:ascii="Times New Roman" w:hAnsi="Times New Roman" w:cs="Times New Roman"/>
          <w:i/>
          <w:iCs/>
          <w:sz w:val="24"/>
          <w:szCs w:val="24"/>
          <w:highlight w:val="yellow"/>
        </w:rPr>
      </w:pPr>
      <w:r w:rsidRPr="00317B8E">
        <w:rPr>
          <w:rFonts w:ascii="Times New Roman" w:hAnsi="Times New Roman" w:cs="Times New Roman"/>
          <w:i/>
          <w:iCs/>
          <w:sz w:val="24"/>
          <w:szCs w:val="24"/>
          <w:highlight w:val="yellow"/>
        </w:rPr>
        <w:t xml:space="preserve">In vitro metabolism including P450 studies </w:t>
      </w:r>
    </w:p>
    <w:p w14:paraId="33E183E7" w14:textId="175908C9" w:rsidR="00A954A6" w:rsidRPr="00A954A6" w:rsidRDefault="00C8774C" w:rsidP="00A954A6">
      <w:pPr>
        <w:pStyle w:val="ListParagraph"/>
        <w:numPr>
          <w:ilvl w:val="0"/>
          <w:numId w:val="11"/>
        </w:numPr>
        <w:spacing w:before="160" w:after="80"/>
        <w:rPr>
          <w:rFonts w:ascii="Times New Roman" w:hAnsi="Times New Roman" w:cs="Times New Roman"/>
          <w:i/>
          <w:iCs/>
          <w:sz w:val="24"/>
          <w:szCs w:val="24"/>
          <w:highlight w:val="yellow"/>
        </w:rPr>
      </w:pPr>
      <w:r w:rsidRPr="00317B8E">
        <w:rPr>
          <w:rFonts w:ascii="Times New Roman" w:hAnsi="Times New Roman" w:cs="Times New Roman"/>
          <w:i/>
          <w:iCs/>
          <w:sz w:val="24"/>
          <w:szCs w:val="24"/>
          <w:highlight w:val="yellow"/>
        </w:rPr>
        <w:t>Enzyme induction and inhibition</w:t>
      </w:r>
      <w:r w:rsidR="00C47920" w:rsidRPr="00317B8E">
        <w:rPr>
          <w:rFonts w:ascii="Times New Roman" w:hAnsi="Times New Roman" w:cs="Times New Roman"/>
          <w:i/>
          <w:iCs/>
          <w:sz w:val="24"/>
          <w:szCs w:val="24"/>
          <w:highlight w:val="yellow"/>
        </w:rPr>
        <w:t xml:space="preserve"> </w:t>
      </w:r>
    </w:p>
    <w:p w14:paraId="6182FF94" w14:textId="742257B1" w:rsidR="00C47920" w:rsidRPr="00317B8E" w:rsidRDefault="00C8774C" w:rsidP="00814CF7">
      <w:pPr>
        <w:pStyle w:val="Heading2"/>
      </w:pPr>
      <w:r w:rsidRPr="00317B8E">
        <w:t>Excretion</w:t>
      </w:r>
    </w:p>
    <w:p w14:paraId="15A5117E" w14:textId="39152411" w:rsidR="00CC51B1" w:rsidRPr="00A954A6" w:rsidRDefault="00CC51B1" w:rsidP="009D7587">
      <w:pPr>
        <w:spacing w:before="160" w:after="80"/>
        <w:rPr>
          <w:rFonts w:ascii="Times New Roman" w:hAnsi="Times New Roman" w:cs="Times New Roman"/>
          <w:i/>
          <w:iCs/>
          <w:sz w:val="24"/>
          <w:szCs w:val="24"/>
          <w:highlight w:val="yellow"/>
        </w:rPr>
      </w:pPr>
      <w:r w:rsidRPr="00A954A6">
        <w:rPr>
          <w:rFonts w:ascii="Times New Roman" w:hAnsi="Times New Roman" w:cs="Times New Roman"/>
          <w:i/>
          <w:iCs/>
          <w:sz w:val="24"/>
          <w:szCs w:val="24"/>
          <w:highlight w:val="yellow"/>
        </w:rPr>
        <w:t>The following data should be summarized in this section:</w:t>
      </w:r>
    </w:p>
    <w:p w14:paraId="7E75E579" w14:textId="31AB952A" w:rsidR="00CC51B1" w:rsidRPr="00A954A6" w:rsidRDefault="000E10A5" w:rsidP="009D7587">
      <w:pPr>
        <w:pStyle w:val="ListParagraph"/>
        <w:numPr>
          <w:ilvl w:val="0"/>
          <w:numId w:val="7"/>
        </w:numPr>
        <w:spacing w:before="160" w:after="80"/>
        <w:rPr>
          <w:rFonts w:ascii="Times New Roman" w:hAnsi="Times New Roman" w:cs="Times New Roman"/>
          <w:i/>
          <w:iCs/>
          <w:sz w:val="24"/>
          <w:szCs w:val="24"/>
          <w:highlight w:val="yellow"/>
        </w:rPr>
      </w:pPr>
      <w:r w:rsidRPr="00A954A6">
        <w:rPr>
          <w:rFonts w:ascii="Times New Roman" w:hAnsi="Times New Roman" w:cs="Times New Roman"/>
          <w:i/>
          <w:iCs/>
          <w:sz w:val="24"/>
          <w:szCs w:val="24"/>
          <w:highlight w:val="yellow"/>
        </w:rPr>
        <w:t>Routes and extent of excretion</w:t>
      </w:r>
    </w:p>
    <w:p w14:paraId="5B188D67" w14:textId="1D64D996" w:rsidR="000E10A5" w:rsidRPr="00A954A6" w:rsidRDefault="000E10A5" w:rsidP="00A954A6">
      <w:pPr>
        <w:pStyle w:val="ListParagraph"/>
        <w:numPr>
          <w:ilvl w:val="0"/>
          <w:numId w:val="7"/>
        </w:numPr>
        <w:spacing w:before="160" w:after="80"/>
        <w:rPr>
          <w:rFonts w:ascii="Times New Roman" w:hAnsi="Times New Roman" w:cs="Times New Roman"/>
          <w:i/>
          <w:iCs/>
          <w:sz w:val="24"/>
          <w:szCs w:val="24"/>
          <w:highlight w:val="yellow"/>
        </w:rPr>
      </w:pPr>
      <w:r w:rsidRPr="00A954A6">
        <w:rPr>
          <w:rFonts w:ascii="Times New Roman" w:hAnsi="Times New Roman" w:cs="Times New Roman"/>
          <w:i/>
          <w:iCs/>
          <w:sz w:val="24"/>
          <w:szCs w:val="24"/>
          <w:highlight w:val="yellow"/>
        </w:rPr>
        <w:t>Excretion in milk</w:t>
      </w:r>
    </w:p>
    <w:p w14:paraId="6AB9103D" w14:textId="74B9A447" w:rsidR="00293AA8" w:rsidRPr="00317B8E" w:rsidRDefault="00293AA8" w:rsidP="00814CF7">
      <w:pPr>
        <w:pStyle w:val="Heading2"/>
      </w:pPr>
      <w:r w:rsidRPr="00317B8E">
        <w:t>Pharmacokinetic Drug Interactions</w:t>
      </w:r>
    </w:p>
    <w:p w14:paraId="3457ACFF" w14:textId="2F832B8F" w:rsidR="00A954A6" w:rsidRPr="00A954A6" w:rsidRDefault="000E10A5" w:rsidP="00A954A6">
      <w:pPr>
        <w:pStyle w:val="ListParagraph"/>
        <w:spacing w:before="160" w:after="80"/>
        <w:ind w:left="0"/>
        <w:contextualSpacing w:val="0"/>
        <w:rPr>
          <w:rFonts w:ascii="Times New Roman" w:hAnsi="Times New Roman" w:cs="Times New Roman"/>
          <w:i/>
          <w:iCs/>
          <w:sz w:val="24"/>
          <w:szCs w:val="24"/>
        </w:rPr>
      </w:pPr>
      <w:r w:rsidRPr="00A954A6">
        <w:rPr>
          <w:rFonts w:ascii="Times New Roman" w:hAnsi="Times New Roman" w:cs="Times New Roman"/>
          <w:i/>
          <w:iCs/>
          <w:sz w:val="24"/>
          <w:szCs w:val="24"/>
          <w:highlight w:val="yellow"/>
        </w:rPr>
        <w:t>If they have been performed, nonclinical pharmacokinetic drug-interaction studies (in vitro and/or in vivo) should be briefly summarized in this section</w:t>
      </w:r>
      <w:r w:rsidR="00E6795F" w:rsidRPr="00A954A6">
        <w:rPr>
          <w:rFonts w:ascii="Times New Roman" w:hAnsi="Times New Roman" w:cs="Times New Roman"/>
          <w:i/>
          <w:iCs/>
          <w:sz w:val="24"/>
          <w:szCs w:val="24"/>
          <w:highlight w:val="yellow"/>
        </w:rPr>
        <w:t>.</w:t>
      </w:r>
    </w:p>
    <w:p w14:paraId="47F80D0C" w14:textId="6A9F6495" w:rsidR="00293AA8" w:rsidRPr="00317B8E" w:rsidRDefault="00293AA8" w:rsidP="00814CF7">
      <w:pPr>
        <w:pStyle w:val="Heading2"/>
      </w:pPr>
      <w:r w:rsidRPr="00317B8E">
        <w:t>Other Pharmacokinetic Studies</w:t>
      </w:r>
    </w:p>
    <w:p w14:paraId="6807E9C0" w14:textId="7273682F" w:rsidR="00A954A6" w:rsidRPr="00A954A6" w:rsidRDefault="003673B2" w:rsidP="009D7587">
      <w:pPr>
        <w:spacing w:before="160" w:after="80"/>
        <w:rPr>
          <w:rFonts w:ascii="Times New Roman" w:hAnsi="Times New Roman" w:cs="Times New Roman"/>
          <w:i/>
          <w:iCs/>
          <w:sz w:val="24"/>
          <w:szCs w:val="24"/>
        </w:rPr>
      </w:pPr>
      <w:r w:rsidRPr="00A954A6">
        <w:rPr>
          <w:rFonts w:ascii="Times New Roman" w:hAnsi="Times New Roman" w:cs="Times New Roman"/>
          <w:i/>
          <w:iCs/>
          <w:sz w:val="24"/>
          <w:szCs w:val="24"/>
          <w:highlight w:val="yellow"/>
        </w:rPr>
        <w:t>If studies have been performed in nonclinical models of disease (e.g. renally impaired animals), they should be summarized in this section.</w:t>
      </w:r>
    </w:p>
    <w:p w14:paraId="18A15163" w14:textId="52FB8E1B" w:rsidR="00293AA8" w:rsidRPr="00317B8E" w:rsidRDefault="00293AA8" w:rsidP="00814CF7">
      <w:pPr>
        <w:pStyle w:val="Heading2"/>
      </w:pPr>
      <w:r w:rsidRPr="00317B8E">
        <w:t>Discussion and Conclusions</w:t>
      </w:r>
    </w:p>
    <w:p w14:paraId="6F47C4E0" w14:textId="619AA4E5" w:rsidR="00FA6F82" w:rsidRPr="00A954A6" w:rsidRDefault="00B3069E" w:rsidP="009D7587">
      <w:pPr>
        <w:spacing w:before="160" w:after="80"/>
        <w:rPr>
          <w:rFonts w:ascii="Times New Roman" w:hAnsi="Times New Roman" w:cs="Times New Roman"/>
          <w:i/>
          <w:iCs/>
          <w:sz w:val="24"/>
          <w:szCs w:val="24"/>
        </w:rPr>
      </w:pPr>
      <w:r w:rsidRPr="00A954A6">
        <w:rPr>
          <w:rFonts w:ascii="Times New Roman" w:hAnsi="Times New Roman" w:cs="Times New Roman"/>
          <w:i/>
          <w:iCs/>
          <w:sz w:val="24"/>
          <w:szCs w:val="24"/>
          <w:highlight w:val="yellow"/>
        </w:rPr>
        <w:t>This section provides an opportunity to discuss the pharmacokinetic evaluation and to consider the significance of any issues that arise.</w:t>
      </w:r>
    </w:p>
    <w:p w14:paraId="54686592" w14:textId="5916B0D0" w:rsidR="00850A7E" w:rsidRPr="00850A7E" w:rsidRDefault="00850A7E" w:rsidP="00D321B4">
      <w:pPr>
        <w:pStyle w:val="Heading2"/>
        <w:rPr>
          <w:i/>
          <w:iCs/>
          <w:sz w:val="24"/>
          <w:szCs w:val="24"/>
        </w:rPr>
      </w:pPr>
      <w:r w:rsidRPr="00850A7E">
        <w:t>Tables and Figures</w:t>
      </w:r>
    </w:p>
    <w:p w14:paraId="75AFEB92" w14:textId="4422BBF8" w:rsidR="00FA6F82" w:rsidRPr="00A954A6" w:rsidRDefault="00850A7E" w:rsidP="00A954A6">
      <w:pPr>
        <w:spacing w:before="160" w:after="80" w:line="278" w:lineRule="auto"/>
        <w:rPr>
          <w:rFonts w:ascii="Times New Roman" w:hAnsi="Times New Roman" w:cs="Times New Roman"/>
          <w:i/>
          <w:iCs/>
          <w:sz w:val="24"/>
          <w:szCs w:val="24"/>
        </w:rPr>
      </w:pPr>
      <w:r w:rsidRPr="006E7BBA">
        <w:rPr>
          <w:rFonts w:ascii="Times New Roman" w:hAnsi="Times New Roman" w:cs="Times New Roman"/>
          <w:i/>
          <w:iCs/>
          <w:sz w:val="24"/>
          <w:szCs w:val="24"/>
          <w:highlight w:val="yellow"/>
        </w:rPr>
        <w:t xml:space="preserve">If you chose to include all tables and figures at the end of this document, add those to this section. If you embedded the tables and figures throughout the text, you </w:t>
      </w:r>
      <w:r>
        <w:rPr>
          <w:rFonts w:ascii="Times New Roman" w:hAnsi="Times New Roman" w:cs="Times New Roman"/>
          <w:i/>
          <w:iCs/>
          <w:sz w:val="24"/>
          <w:szCs w:val="24"/>
          <w:highlight w:val="yellow"/>
        </w:rPr>
        <w:t>may</w:t>
      </w:r>
      <w:r w:rsidRPr="006E7BBA">
        <w:rPr>
          <w:rFonts w:ascii="Times New Roman" w:hAnsi="Times New Roman" w:cs="Times New Roman"/>
          <w:i/>
          <w:iCs/>
          <w:sz w:val="24"/>
          <w:szCs w:val="24"/>
          <w:highlight w:val="yellow"/>
        </w:rPr>
        <w:t xml:space="preserve"> delete this section.</w:t>
      </w:r>
      <w:r w:rsidRPr="00CC54C3">
        <w:rPr>
          <w:rFonts w:ascii="Times New Roman" w:hAnsi="Times New Roman" w:cs="Times New Roman"/>
          <w:i/>
          <w:iCs/>
          <w:sz w:val="24"/>
          <w:szCs w:val="24"/>
        </w:rPr>
        <w:t xml:space="preserve"> </w:t>
      </w:r>
    </w:p>
    <w:p w14:paraId="12EC659B" w14:textId="77777777" w:rsidR="00C8774C" w:rsidRPr="00317B8E" w:rsidRDefault="00C8774C" w:rsidP="00D15F73">
      <w:pPr>
        <w:ind w:left="360"/>
        <w:contextualSpacing/>
        <w:rPr>
          <w:rFonts w:ascii="Times New Roman" w:hAnsi="Times New Roman" w:cs="Times New Roman"/>
          <w:i/>
          <w:iCs/>
          <w:sz w:val="24"/>
          <w:szCs w:val="24"/>
        </w:rPr>
      </w:pPr>
    </w:p>
    <w:sectPr w:rsidR="00C8774C" w:rsidRPr="00317B8E">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8F23" w14:textId="77777777" w:rsidR="00E869B9" w:rsidRDefault="00E869B9" w:rsidP="006C1FF6">
      <w:pPr>
        <w:spacing w:after="0" w:line="240" w:lineRule="auto"/>
      </w:pPr>
      <w:r>
        <w:separator/>
      </w:r>
    </w:p>
  </w:endnote>
  <w:endnote w:type="continuationSeparator" w:id="0">
    <w:p w14:paraId="7A07D40C" w14:textId="77777777" w:rsidR="00E869B9" w:rsidRDefault="00E869B9" w:rsidP="006C1FF6">
      <w:pPr>
        <w:spacing w:after="0" w:line="240" w:lineRule="auto"/>
      </w:pPr>
      <w:r>
        <w:continuationSeparator/>
      </w:r>
    </w:p>
  </w:endnote>
  <w:endnote w:type="continuationNotice" w:id="1">
    <w:p w14:paraId="624C3A79" w14:textId="77777777" w:rsidR="00E869B9" w:rsidRDefault="00E86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208321"/>
      <w:docPartObj>
        <w:docPartGallery w:val="Page Numbers (Bottom of Page)"/>
        <w:docPartUnique/>
      </w:docPartObj>
    </w:sdtPr>
    <w:sdtContent>
      <w:p w14:paraId="3058D829" w14:textId="767BAD4C" w:rsidR="006C1FF6" w:rsidRDefault="006C1FF6" w:rsidP="00791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D0E12B" w14:textId="77777777" w:rsidR="006C1FF6" w:rsidRDefault="006C1FF6" w:rsidP="006C1F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069D" w14:textId="47E34FC1" w:rsidR="006C1FF6" w:rsidRDefault="006C1FF6" w:rsidP="007919EC">
    <w:pPr>
      <w:pStyle w:val="Footer"/>
      <w:framePr w:wrap="none" w:vAnchor="text" w:hAnchor="margin" w:xAlign="right" w:y="1"/>
      <w:rPr>
        <w:rStyle w:val="PageNumber"/>
      </w:rPr>
    </w:pPr>
    <w:r>
      <w:rPr>
        <w:rStyle w:val="PageNumber"/>
      </w:rPr>
      <w:t>Module 2.6.</w:t>
    </w:r>
    <w:r w:rsidR="002B5A00">
      <w:rPr>
        <w:rStyle w:val="PageNumber"/>
      </w:rPr>
      <w:t>4</w:t>
    </w:r>
    <w:r>
      <w:rPr>
        <w:rStyle w:val="PageNumber"/>
      </w:rPr>
      <w:t xml:space="preserve">, Page </w:t>
    </w:r>
    <w:sdt>
      <w:sdtPr>
        <w:rPr>
          <w:rStyle w:val="PageNumber"/>
        </w:rPr>
        <w:id w:val="-67719378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006B9102" w14:textId="747A153B" w:rsidR="006C1FF6" w:rsidRDefault="006C1FF6" w:rsidP="006C1FF6">
    <w:pPr>
      <w:pStyle w:val="Footer"/>
      <w:ind w:right="360"/>
    </w:pPr>
    <w:r>
      <w:t xml:space="preserve">Investigational New Drug No. </w:t>
    </w:r>
    <w:r w:rsidRPr="00732188">
      <w:rPr>
        <w:i/>
        <w:iCs/>
        <w:highlight w:val="yellow"/>
      </w:rPr>
      <w:t>XXXXX</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B6C7E" w14:textId="77777777" w:rsidR="00E869B9" w:rsidRDefault="00E869B9" w:rsidP="006C1FF6">
      <w:pPr>
        <w:spacing w:after="0" w:line="240" w:lineRule="auto"/>
      </w:pPr>
      <w:r>
        <w:separator/>
      </w:r>
    </w:p>
  </w:footnote>
  <w:footnote w:type="continuationSeparator" w:id="0">
    <w:p w14:paraId="2536E401" w14:textId="77777777" w:rsidR="00E869B9" w:rsidRDefault="00E869B9" w:rsidP="006C1FF6">
      <w:pPr>
        <w:spacing w:after="0" w:line="240" w:lineRule="auto"/>
      </w:pPr>
      <w:r>
        <w:continuationSeparator/>
      </w:r>
    </w:p>
  </w:footnote>
  <w:footnote w:type="continuationNotice" w:id="1">
    <w:p w14:paraId="347D401E" w14:textId="77777777" w:rsidR="00E869B9" w:rsidRDefault="00E869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DE45" w14:textId="1C9349E3" w:rsidR="006C1FF6" w:rsidRDefault="006C1FF6">
    <w:pPr>
      <w:pStyle w:val="Header"/>
    </w:pPr>
    <w:r>
      <w:ptab w:relativeTo="margin" w:alignment="center" w:leader="none"/>
    </w:r>
    <w:r>
      <w:t>Title of Application</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464"/>
    <w:multiLevelType w:val="multilevel"/>
    <w:tmpl w:val="F234422E"/>
    <w:lvl w:ilvl="0">
      <w:start w:val="2"/>
      <w:numFmt w:val="decimal"/>
      <w:lvlText w:val="%1."/>
      <w:lvlJc w:val="left"/>
      <w:pPr>
        <w:ind w:left="885" w:hanging="885"/>
      </w:pPr>
      <w:rPr>
        <w:rFonts w:hint="default"/>
      </w:rPr>
    </w:lvl>
    <w:lvl w:ilvl="1">
      <w:start w:val="6"/>
      <w:numFmt w:val="decimal"/>
      <w:lvlText w:val="%1.%2."/>
      <w:lvlJc w:val="left"/>
      <w:pPr>
        <w:ind w:left="1005" w:hanging="885"/>
      </w:pPr>
      <w:rPr>
        <w:rFonts w:hint="default"/>
      </w:rPr>
    </w:lvl>
    <w:lvl w:ilvl="2">
      <w:start w:val="4"/>
      <w:numFmt w:val="decimal"/>
      <w:lvlText w:val="%1.%2.%3."/>
      <w:lvlJc w:val="left"/>
      <w:pPr>
        <w:ind w:left="1125" w:hanging="885"/>
      </w:pPr>
      <w:rPr>
        <w:rFonts w:hint="default"/>
      </w:rPr>
    </w:lvl>
    <w:lvl w:ilvl="3">
      <w:start w:val="2"/>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 w15:restartNumberingAfterBreak="0">
    <w:nsid w:val="130024C1"/>
    <w:multiLevelType w:val="hybridMultilevel"/>
    <w:tmpl w:val="14208F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F2805"/>
    <w:multiLevelType w:val="hybridMultilevel"/>
    <w:tmpl w:val="1B96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227D8"/>
    <w:multiLevelType w:val="multilevel"/>
    <w:tmpl w:val="87AAEDCA"/>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462DBB"/>
    <w:multiLevelType w:val="multilevel"/>
    <w:tmpl w:val="FCCCB398"/>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pStyle w:val="Heading1"/>
      <w:lvlText w:val="%1.%2.%3."/>
      <w:lvlJc w:val="left"/>
      <w:pPr>
        <w:ind w:left="720" w:hanging="720"/>
      </w:pPr>
      <w:rPr>
        <w:rFonts w:hint="default"/>
      </w:rPr>
    </w:lvl>
    <w:lvl w:ilvl="3">
      <w:start w:val="1"/>
      <w:numFmt w:val="decimal"/>
      <w:pStyle w:val="Heading2"/>
      <w:lvlText w:val="%1.%2.%3.%4."/>
      <w:lvlJc w:val="left"/>
      <w:pPr>
        <w:ind w:left="1080" w:hanging="108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FEF21C3"/>
    <w:multiLevelType w:val="hybridMultilevel"/>
    <w:tmpl w:val="D10A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E629B"/>
    <w:multiLevelType w:val="multilevel"/>
    <w:tmpl w:val="4038309E"/>
    <w:lvl w:ilvl="0">
      <w:start w:val="2"/>
      <w:numFmt w:val="decimal"/>
      <w:lvlText w:val="%1."/>
      <w:lvlJc w:val="left"/>
      <w:pPr>
        <w:ind w:left="560" w:hanging="56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4E4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F55E9"/>
    <w:multiLevelType w:val="hybridMultilevel"/>
    <w:tmpl w:val="04B870D6"/>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53343"/>
    <w:multiLevelType w:val="hybridMultilevel"/>
    <w:tmpl w:val="9150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B47EA"/>
    <w:multiLevelType w:val="hybridMultilevel"/>
    <w:tmpl w:val="F544CC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3E0ABD"/>
    <w:multiLevelType w:val="multilevel"/>
    <w:tmpl w:val="33F6C88C"/>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EB29A9"/>
    <w:multiLevelType w:val="hybridMultilevel"/>
    <w:tmpl w:val="EA4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636023">
    <w:abstractNumId w:val="7"/>
  </w:num>
  <w:num w:numId="2" w16cid:durableId="943607828">
    <w:abstractNumId w:val="6"/>
  </w:num>
  <w:num w:numId="3" w16cid:durableId="479425479">
    <w:abstractNumId w:val="10"/>
  </w:num>
  <w:num w:numId="4" w16cid:durableId="1841769482">
    <w:abstractNumId w:val="1"/>
  </w:num>
  <w:num w:numId="5" w16cid:durableId="1978298508">
    <w:abstractNumId w:val="3"/>
  </w:num>
  <w:num w:numId="6" w16cid:durableId="1357534908">
    <w:abstractNumId w:val="4"/>
  </w:num>
  <w:num w:numId="7" w16cid:durableId="1843742060">
    <w:abstractNumId w:val="12"/>
  </w:num>
  <w:num w:numId="8" w16cid:durableId="530538221">
    <w:abstractNumId w:val="0"/>
  </w:num>
  <w:num w:numId="9" w16cid:durableId="595745378">
    <w:abstractNumId w:val="11"/>
  </w:num>
  <w:num w:numId="10" w16cid:durableId="1858230232">
    <w:abstractNumId w:val="9"/>
  </w:num>
  <w:num w:numId="11" w16cid:durableId="1461142795">
    <w:abstractNumId w:val="8"/>
  </w:num>
  <w:num w:numId="12" w16cid:durableId="867988674">
    <w:abstractNumId w:val="2"/>
  </w:num>
  <w:num w:numId="13" w16cid:durableId="456531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20"/>
    <w:rsid w:val="000075E1"/>
    <w:rsid w:val="00033AE7"/>
    <w:rsid w:val="00060760"/>
    <w:rsid w:val="0006172D"/>
    <w:rsid w:val="0006578D"/>
    <w:rsid w:val="000849F6"/>
    <w:rsid w:val="000C702B"/>
    <w:rsid w:val="000E10A5"/>
    <w:rsid w:val="000E15C9"/>
    <w:rsid w:val="000E1944"/>
    <w:rsid w:val="000E445E"/>
    <w:rsid w:val="000F4B30"/>
    <w:rsid w:val="00113C09"/>
    <w:rsid w:val="001442E2"/>
    <w:rsid w:val="00145963"/>
    <w:rsid w:val="001C1B3E"/>
    <w:rsid w:val="001D4983"/>
    <w:rsid w:val="001D6A41"/>
    <w:rsid w:val="001F55BE"/>
    <w:rsid w:val="0022662F"/>
    <w:rsid w:val="0023699D"/>
    <w:rsid w:val="00247F1A"/>
    <w:rsid w:val="00253A47"/>
    <w:rsid w:val="002648D4"/>
    <w:rsid w:val="00270B92"/>
    <w:rsid w:val="00293AA8"/>
    <w:rsid w:val="002A109E"/>
    <w:rsid w:val="002A58DD"/>
    <w:rsid w:val="002B5A00"/>
    <w:rsid w:val="002C29F5"/>
    <w:rsid w:val="002C43B8"/>
    <w:rsid w:val="002E3802"/>
    <w:rsid w:val="002E385B"/>
    <w:rsid w:val="002E65A1"/>
    <w:rsid w:val="00304590"/>
    <w:rsid w:val="00316009"/>
    <w:rsid w:val="00317B8E"/>
    <w:rsid w:val="003303A0"/>
    <w:rsid w:val="00331400"/>
    <w:rsid w:val="003377DC"/>
    <w:rsid w:val="00340F98"/>
    <w:rsid w:val="00342732"/>
    <w:rsid w:val="0034629C"/>
    <w:rsid w:val="003673B2"/>
    <w:rsid w:val="003710BC"/>
    <w:rsid w:val="00374394"/>
    <w:rsid w:val="00390A37"/>
    <w:rsid w:val="003921CD"/>
    <w:rsid w:val="00395596"/>
    <w:rsid w:val="003A2D65"/>
    <w:rsid w:val="003A4D15"/>
    <w:rsid w:val="003C28F0"/>
    <w:rsid w:val="003C29B4"/>
    <w:rsid w:val="003D1649"/>
    <w:rsid w:val="003E5B94"/>
    <w:rsid w:val="003F23C9"/>
    <w:rsid w:val="003F617F"/>
    <w:rsid w:val="00415584"/>
    <w:rsid w:val="00422A1E"/>
    <w:rsid w:val="00422D18"/>
    <w:rsid w:val="00432C5D"/>
    <w:rsid w:val="0046643D"/>
    <w:rsid w:val="00470D8B"/>
    <w:rsid w:val="0048697F"/>
    <w:rsid w:val="0049703E"/>
    <w:rsid w:val="00497DE0"/>
    <w:rsid w:val="004A1B19"/>
    <w:rsid w:val="004C63A1"/>
    <w:rsid w:val="004C6D77"/>
    <w:rsid w:val="004D3222"/>
    <w:rsid w:val="004E1F07"/>
    <w:rsid w:val="004E33D2"/>
    <w:rsid w:val="004F4C69"/>
    <w:rsid w:val="004F591E"/>
    <w:rsid w:val="004F5EC2"/>
    <w:rsid w:val="00503107"/>
    <w:rsid w:val="0051125E"/>
    <w:rsid w:val="00522A52"/>
    <w:rsid w:val="00524899"/>
    <w:rsid w:val="005254D9"/>
    <w:rsid w:val="00542539"/>
    <w:rsid w:val="00543D81"/>
    <w:rsid w:val="005550E0"/>
    <w:rsid w:val="0057087B"/>
    <w:rsid w:val="0059650D"/>
    <w:rsid w:val="005A4636"/>
    <w:rsid w:val="005B2746"/>
    <w:rsid w:val="005B3703"/>
    <w:rsid w:val="005C0823"/>
    <w:rsid w:val="005C2D2D"/>
    <w:rsid w:val="005D48D7"/>
    <w:rsid w:val="005E29C5"/>
    <w:rsid w:val="005E6574"/>
    <w:rsid w:val="005F74C7"/>
    <w:rsid w:val="005F7A8E"/>
    <w:rsid w:val="0060028C"/>
    <w:rsid w:val="00603190"/>
    <w:rsid w:val="0060568D"/>
    <w:rsid w:val="00606533"/>
    <w:rsid w:val="00607D75"/>
    <w:rsid w:val="006140FC"/>
    <w:rsid w:val="0061551C"/>
    <w:rsid w:val="006213C7"/>
    <w:rsid w:val="00624987"/>
    <w:rsid w:val="00625EAD"/>
    <w:rsid w:val="00657873"/>
    <w:rsid w:val="0066205C"/>
    <w:rsid w:val="00675A0F"/>
    <w:rsid w:val="00681E28"/>
    <w:rsid w:val="0069067D"/>
    <w:rsid w:val="0069345B"/>
    <w:rsid w:val="006A4048"/>
    <w:rsid w:val="006B232E"/>
    <w:rsid w:val="006C1FF6"/>
    <w:rsid w:val="006D78BC"/>
    <w:rsid w:val="006E1CF0"/>
    <w:rsid w:val="00715B0D"/>
    <w:rsid w:val="007248FE"/>
    <w:rsid w:val="00732188"/>
    <w:rsid w:val="00737953"/>
    <w:rsid w:val="007411DE"/>
    <w:rsid w:val="00746B88"/>
    <w:rsid w:val="00751A35"/>
    <w:rsid w:val="0076311B"/>
    <w:rsid w:val="007716FC"/>
    <w:rsid w:val="007879FE"/>
    <w:rsid w:val="00790E7D"/>
    <w:rsid w:val="0079743C"/>
    <w:rsid w:val="007A42F8"/>
    <w:rsid w:val="007C7F50"/>
    <w:rsid w:val="007D7C7A"/>
    <w:rsid w:val="007E22DB"/>
    <w:rsid w:val="007E7C70"/>
    <w:rsid w:val="007F2FDD"/>
    <w:rsid w:val="00814CF7"/>
    <w:rsid w:val="008158F4"/>
    <w:rsid w:val="0081772F"/>
    <w:rsid w:val="00822EB6"/>
    <w:rsid w:val="00850A7E"/>
    <w:rsid w:val="00861C8A"/>
    <w:rsid w:val="008631A5"/>
    <w:rsid w:val="008641C5"/>
    <w:rsid w:val="00864795"/>
    <w:rsid w:val="00867413"/>
    <w:rsid w:val="008716F7"/>
    <w:rsid w:val="00877454"/>
    <w:rsid w:val="0088275F"/>
    <w:rsid w:val="008957E5"/>
    <w:rsid w:val="00896435"/>
    <w:rsid w:val="008A0D4B"/>
    <w:rsid w:val="008B7ADD"/>
    <w:rsid w:val="008D5096"/>
    <w:rsid w:val="008F4686"/>
    <w:rsid w:val="00907D17"/>
    <w:rsid w:val="00914D43"/>
    <w:rsid w:val="00921250"/>
    <w:rsid w:val="00930031"/>
    <w:rsid w:val="00937BD0"/>
    <w:rsid w:val="00941896"/>
    <w:rsid w:val="0095246B"/>
    <w:rsid w:val="0095532A"/>
    <w:rsid w:val="00960667"/>
    <w:rsid w:val="00985EB2"/>
    <w:rsid w:val="009B33A8"/>
    <w:rsid w:val="009B3CEA"/>
    <w:rsid w:val="009C07CC"/>
    <w:rsid w:val="009C4805"/>
    <w:rsid w:val="009D7587"/>
    <w:rsid w:val="009E634F"/>
    <w:rsid w:val="009F10BE"/>
    <w:rsid w:val="00A10D4A"/>
    <w:rsid w:val="00A152ED"/>
    <w:rsid w:val="00A4156C"/>
    <w:rsid w:val="00A42AEE"/>
    <w:rsid w:val="00A439AC"/>
    <w:rsid w:val="00A722DE"/>
    <w:rsid w:val="00A92FF8"/>
    <w:rsid w:val="00A954A6"/>
    <w:rsid w:val="00A96DDB"/>
    <w:rsid w:val="00AA4631"/>
    <w:rsid w:val="00AB04EE"/>
    <w:rsid w:val="00AB133B"/>
    <w:rsid w:val="00AC2B2C"/>
    <w:rsid w:val="00AD3080"/>
    <w:rsid w:val="00AF34C2"/>
    <w:rsid w:val="00B00978"/>
    <w:rsid w:val="00B01245"/>
    <w:rsid w:val="00B02615"/>
    <w:rsid w:val="00B06CA0"/>
    <w:rsid w:val="00B150EB"/>
    <w:rsid w:val="00B26243"/>
    <w:rsid w:val="00B3069E"/>
    <w:rsid w:val="00B32CED"/>
    <w:rsid w:val="00B35CAF"/>
    <w:rsid w:val="00B36BF8"/>
    <w:rsid w:val="00B36D36"/>
    <w:rsid w:val="00B63BC5"/>
    <w:rsid w:val="00B72D25"/>
    <w:rsid w:val="00BB08C2"/>
    <w:rsid w:val="00BE34D5"/>
    <w:rsid w:val="00BE5446"/>
    <w:rsid w:val="00BF0B92"/>
    <w:rsid w:val="00BF15A3"/>
    <w:rsid w:val="00BF3DE1"/>
    <w:rsid w:val="00BF522D"/>
    <w:rsid w:val="00C01C1B"/>
    <w:rsid w:val="00C0470B"/>
    <w:rsid w:val="00C11FD3"/>
    <w:rsid w:val="00C17480"/>
    <w:rsid w:val="00C20A50"/>
    <w:rsid w:val="00C31F6E"/>
    <w:rsid w:val="00C41DF8"/>
    <w:rsid w:val="00C43048"/>
    <w:rsid w:val="00C45739"/>
    <w:rsid w:val="00C47920"/>
    <w:rsid w:val="00C50C0F"/>
    <w:rsid w:val="00C649D4"/>
    <w:rsid w:val="00C65271"/>
    <w:rsid w:val="00C76398"/>
    <w:rsid w:val="00C8774C"/>
    <w:rsid w:val="00C87BED"/>
    <w:rsid w:val="00C87F28"/>
    <w:rsid w:val="00C9740D"/>
    <w:rsid w:val="00CA1158"/>
    <w:rsid w:val="00CA1C6C"/>
    <w:rsid w:val="00CB0832"/>
    <w:rsid w:val="00CC51B1"/>
    <w:rsid w:val="00CD7CE3"/>
    <w:rsid w:val="00CE7299"/>
    <w:rsid w:val="00CF236A"/>
    <w:rsid w:val="00CF38F0"/>
    <w:rsid w:val="00D018B7"/>
    <w:rsid w:val="00D01E8E"/>
    <w:rsid w:val="00D04F69"/>
    <w:rsid w:val="00D15F73"/>
    <w:rsid w:val="00D169AC"/>
    <w:rsid w:val="00D27A6B"/>
    <w:rsid w:val="00D27B27"/>
    <w:rsid w:val="00D30311"/>
    <w:rsid w:val="00D321B4"/>
    <w:rsid w:val="00D3371E"/>
    <w:rsid w:val="00D50463"/>
    <w:rsid w:val="00D53EB2"/>
    <w:rsid w:val="00D54449"/>
    <w:rsid w:val="00D62F22"/>
    <w:rsid w:val="00D83B43"/>
    <w:rsid w:val="00DA5018"/>
    <w:rsid w:val="00DB1101"/>
    <w:rsid w:val="00DB7721"/>
    <w:rsid w:val="00DE41A6"/>
    <w:rsid w:val="00DF1448"/>
    <w:rsid w:val="00DF5446"/>
    <w:rsid w:val="00E027B7"/>
    <w:rsid w:val="00E06D65"/>
    <w:rsid w:val="00E237E2"/>
    <w:rsid w:val="00E37955"/>
    <w:rsid w:val="00E55713"/>
    <w:rsid w:val="00E61D52"/>
    <w:rsid w:val="00E657EB"/>
    <w:rsid w:val="00E6795F"/>
    <w:rsid w:val="00E745E7"/>
    <w:rsid w:val="00E7644B"/>
    <w:rsid w:val="00E77A46"/>
    <w:rsid w:val="00E849BC"/>
    <w:rsid w:val="00E869B9"/>
    <w:rsid w:val="00E87F61"/>
    <w:rsid w:val="00EA5367"/>
    <w:rsid w:val="00EB60C8"/>
    <w:rsid w:val="00EC0276"/>
    <w:rsid w:val="00EF026F"/>
    <w:rsid w:val="00EF1699"/>
    <w:rsid w:val="00EF529C"/>
    <w:rsid w:val="00F05651"/>
    <w:rsid w:val="00F25CE9"/>
    <w:rsid w:val="00F302BA"/>
    <w:rsid w:val="00F34084"/>
    <w:rsid w:val="00F35390"/>
    <w:rsid w:val="00F35D49"/>
    <w:rsid w:val="00F45290"/>
    <w:rsid w:val="00F74E6E"/>
    <w:rsid w:val="00F84D2B"/>
    <w:rsid w:val="00F9391D"/>
    <w:rsid w:val="00FA6F82"/>
    <w:rsid w:val="00FC1590"/>
    <w:rsid w:val="00FC6D7C"/>
    <w:rsid w:val="00FF556C"/>
    <w:rsid w:val="1CC17640"/>
    <w:rsid w:val="4556CDE7"/>
    <w:rsid w:val="45CAF251"/>
    <w:rsid w:val="55986E67"/>
    <w:rsid w:val="56977846"/>
    <w:rsid w:val="575CFB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F67E"/>
  <w15:chartTrackingRefBased/>
  <w15:docId w15:val="{55A15283-5B99-D344-8492-D103FE98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20"/>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814CF7"/>
    <w:pPr>
      <w:keepNext/>
      <w:keepLines/>
      <w:numPr>
        <w:ilvl w:val="2"/>
        <w:numId w:val="6"/>
      </w:numPr>
      <w:spacing w:before="160" w:after="80"/>
      <w:contextualSpacing/>
      <w:outlineLvl w:val="0"/>
    </w:pPr>
    <w:rPr>
      <w:rFonts w:ascii="Times New Roman" w:eastAsiaTheme="majorEastAsia" w:hAnsi="Times New Roman" w:cs="Times New Roman"/>
      <w:b/>
      <w:bCs/>
      <w:sz w:val="28"/>
      <w:szCs w:val="28"/>
    </w:rPr>
  </w:style>
  <w:style w:type="paragraph" w:styleId="Heading2">
    <w:name w:val="heading 2"/>
    <w:basedOn w:val="ListParagraph"/>
    <w:next w:val="Normal"/>
    <w:link w:val="Heading2Char"/>
    <w:uiPriority w:val="9"/>
    <w:unhideWhenUsed/>
    <w:qFormat/>
    <w:rsid w:val="00814CF7"/>
    <w:pPr>
      <w:numPr>
        <w:ilvl w:val="3"/>
        <w:numId w:val="6"/>
      </w:numPr>
      <w:spacing w:before="160" w:after="80"/>
      <w:outlineLvl w:val="1"/>
    </w:pPr>
    <w:rPr>
      <w:rFonts w:ascii="Times New Roman" w:hAnsi="Times New Roman" w:cs="Times New Roman"/>
      <w:sz w:val="28"/>
      <w:szCs w:val="28"/>
    </w:rPr>
  </w:style>
  <w:style w:type="paragraph" w:styleId="Heading3">
    <w:name w:val="heading 3"/>
    <w:basedOn w:val="Normal"/>
    <w:next w:val="Normal"/>
    <w:link w:val="Heading3Char"/>
    <w:uiPriority w:val="9"/>
    <w:semiHidden/>
    <w:unhideWhenUsed/>
    <w:qFormat/>
    <w:rsid w:val="00C47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CF7"/>
    <w:rPr>
      <w:rFonts w:ascii="Times New Roman" w:eastAsiaTheme="majorEastAsia" w:hAnsi="Times New Roman" w:cs="Times New Roman"/>
      <w:b/>
      <w:bCs/>
      <w:kern w:val="0"/>
      <w:sz w:val="28"/>
      <w:szCs w:val="28"/>
      <w:lang w:eastAsia="en-US"/>
      <w14:ligatures w14:val="none"/>
    </w:rPr>
  </w:style>
  <w:style w:type="character" w:customStyle="1" w:styleId="Heading2Char">
    <w:name w:val="Heading 2 Char"/>
    <w:basedOn w:val="DefaultParagraphFont"/>
    <w:link w:val="Heading2"/>
    <w:uiPriority w:val="9"/>
    <w:rsid w:val="00814CF7"/>
    <w:rPr>
      <w:rFonts w:ascii="Times New Roman" w:eastAsiaTheme="minorHAnsi" w:hAnsi="Times New Roman" w:cs="Times New Roman"/>
      <w:kern w:val="0"/>
      <w:sz w:val="28"/>
      <w:szCs w:val="28"/>
      <w:lang w:eastAsia="en-US"/>
      <w14:ligatures w14:val="none"/>
    </w:rPr>
  </w:style>
  <w:style w:type="character" w:customStyle="1" w:styleId="Heading3Char">
    <w:name w:val="Heading 3 Char"/>
    <w:basedOn w:val="DefaultParagraphFont"/>
    <w:link w:val="Heading3"/>
    <w:uiPriority w:val="9"/>
    <w:semiHidden/>
    <w:rsid w:val="00C47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20"/>
    <w:rPr>
      <w:rFonts w:eastAsiaTheme="majorEastAsia" w:cstheme="majorBidi"/>
      <w:color w:val="272727" w:themeColor="text1" w:themeTint="D8"/>
    </w:rPr>
  </w:style>
  <w:style w:type="paragraph" w:styleId="Title">
    <w:name w:val="Title"/>
    <w:basedOn w:val="Normal"/>
    <w:next w:val="Normal"/>
    <w:link w:val="TitleChar"/>
    <w:uiPriority w:val="10"/>
    <w:qFormat/>
    <w:rsid w:val="00C47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20"/>
    <w:pPr>
      <w:spacing w:before="160"/>
      <w:jc w:val="center"/>
    </w:pPr>
    <w:rPr>
      <w:i/>
      <w:iCs/>
      <w:color w:val="404040" w:themeColor="text1" w:themeTint="BF"/>
    </w:rPr>
  </w:style>
  <w:style w:type="character" w:customStyle="1" w:styleId="QuoteChar">
    <w:name w:val="Quote Char"/>
    <w:basedOn w:val="DefaultParagraphFont"/>
    <w:link w:val="Quote"/>
    <w:uiPriority w:val="29"/>
    <w:rsid w:val="00C47920"/>
    <w:rPr>
      <w:i/>
      <w:iCs/>
      <w:color w:val="404040" w:themeColor="text1" w:themeTint="BF"/>
    </w:rPr>
  </w:style>
  <w:style w:type="paragraph" w:styleId="ListParagraph">
    <w:name w:val="List Paragraph"/>
    <w:basedOn w:val="Normal"/>
    <w:uiPriority w:val="34"/>
    <w:qFormat/>
    <w:rsid w:val="00C47920"/>
    <w:pPr>
      <w:ind w:left="720"/>
      <w:contextualSpacing/>
    </w:pPr>
  </w:style>
  <w:style w:type="character" w:styleId="IntenseEmphasis">
    <w:name w:val="Intense Emphasis"/>
    <w:basedOn w:val="DefaultParagraphFont"/>
    <w:uiPriority w:val="21"/>
    <w:qFormat/>
    <w:rsid w:val="00C47920"/>
    <w:rPr>
      <w:i/>
      <w:iCs/>
      <w:color w:val="0F4761" w:themeColor="accent1" w:themeShade="BF"/>
    </w:rPr>
  </w:style>
  <w:style w:type="paragraph" w:styleId="IntenseQuote">
    <w:name w:val="Intense Quote"/>
    <w:basedOn w:val="Normal"/>
    <w:next w:val="Normal"/>
    <w:link w:val="IntenseQuoteChar"/>
    <w:uiPriority w:val="30"/>
    <w:qFormat/>
    <w:rsid w:val="00C47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20"/>
    <w:rPr>
      <w:i/>
      <w:iCs/>
      <w:color w:val="0F4761" w:themeColor="accent1" w:themeShade="BF"/>
    </w:rPr>
  </w:style>
  <w:style w:type="character" w:styleId="IntenseReference">
    <w:name w:val="Intense Reference"/>
    <w:basedOn w:val="DefaultParagraphFont"/>
    <w:uiPriority w:val="32"/>
    <w:qFormat/>
    <w:rsid w:val="00C47920"/>
    <w:rPr>
      <w:b/>
      <w:bCs/>
      <w:smallCaps/>
      <w:color w:val="0F4761" w:themeColor="accent1" w:themeShade="BF"/>
      <w:spacing w:val="5"/>
    </w:rPr>
  </w:style>
  <w:style w:type="paragraph" w:styleId="Header">
    <w:name w:val="header"/>
    <w:basedOn w:val="Normal"/>
    <w:link w:val="HeaderChar"/>
    <w:uiPriority w:val="99"/>
    <w:unhideWhenUsed/>
    <w:rsid w:val="006C1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FF6"/>
    <w:rPr>
      <w:rFonts w:eastAsiaTheme="minorHAnsi"/>
      <w:kern w:val="0"/>
      <w:sz w:val="22"/>
      <w:szCs w:val="22"/>
      <w:lang w:eastAsia="en-US"/>
      <w14:ligatures w14:val="none"/>
    </w:rPr>
  </w:style>
  <w:style w:type="paragraph" w:styleId="Footer">
    <w:name w:val="footer"/>
    <w:basedOn w:val="Normal"/>
    <w:link w:val="FooterChar"/>
    <w:uiPriority w:val="99"/>
    <w:unhideWhenUsed/>
    <w:rsid w:val="006C1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FF6"/>
    <w:rPr>
      <w:rFonts w:eastAsiaTheme="minorHAnsi"/>
      <w:kern w:val="0"/>
      <w:sz w:val="22"/>
      <w:szCs w:val="22"/>
      <w:lang w:eastAsia="en-US"/>
      <w14:ligatures w14:val="none"/>
    </w:rPr>
  </w:style>
  <w:style w:type="character" w:styleId="PageNumber">
    <w:name w:val="page number"/>
    <w:basedOn w:val="DefaultParagraphFont"/>
    <w:uiPriority w:val="99"/>
    <w:semiHidden/>
    <w:unhideWhenUsed/>
    <w:rsid w:val="006C1FF6"/>
  </w:style>
  <w:style w:type="character" w:styleId="Hyperlink">
    <w:name w:val="Hyperlink"/>
    <w:basedOn w:val="DefaultParagraphFont"/>
    <w:uiPriority w:val="99"/>
    <w:unhideWhenUsed/>
    <w:rsid w:val="1CC17640"/>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HAnsi"/>
      <w:kern w:val="0"/>
      <w:sz w:val="20"/>
      <w:szCs w:val="20"/>
      <w:lang w:eastAsia="en-US"/>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da.gov/media/185340/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base.ich.org/sites/default/files/M4S_R2_Guideline.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da.gov/files/drugs/published/Portable-Document-Format-Specifica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316f8801fdf7ad318f96d2ddf1ad8fec">
  <xsd:schema xmlns:xsd="http://www.w3.org/2001/XMLSchema" xmlns:xs="http://www.w3.org/2001/XMLSchema" xmlns:p="http://schemas.microsoft.com/office/2006/metadata/properties" xmlns:ns2="26675fd5-4a21-4f69-8840-09a50681c698" targetNamespace="http://schemas.microsoft.com/office/2006/metadata/properties" ma:root="true" ma:fieldsID="b9c35720d82e80fe78f75de4d79b72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CF91E-1B80-4DA9-A58C-B6429C6D4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21057-22CA-4C69-A67B-23EA78B91E81}">
  <ds:schemaRefs>
    <ds:schemaRef ds:uri="http://schemas.microsoft.com/office/2006/metadata/properties"/>
    <ds:schemaRef ds:uri="http://schemas.microsoft.com/office/infopath/2007/PartnerControls"/>
    <ds:schemaRef ds:uri="26675fd5-4a21-4f69-8840-09a50681c698"/>
  </ds:schemaRefs>
</ds:datastoreItem>
</file>

<file path=customXml/itemProps3.xml><?xml version="1.0" encoding="utf-8"?>
<ds:datastoreItem xmlns:ds="http://schemas.openxmlformats.org/officeDocument/2006/customXml" ds:itemID="{4FCB9722-531E-4D36-9815-47E158BE4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41</cp:revision>
  <dcterms:created xsi:type="dcterms:W3CDTF">2025-06-23T14:32:00Z</dcterms:created>
  <dcterms:modified xsi:type="dcterms:W3CDTF">2025-12-03T18:49:00Z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