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D727" w14:textId="3AF63EFB" w:rsidR="00C47920" w:rsidRPr="00C47920" w:rsidRDefault="001A371D" w:rsidP="002B26D5">
      <w:pPr>
        <w:pStyle w:val="Heading1"/>
        <w:numPr>
          <w:ilvl w:val="2"/>
          <w:numId w:val="6"/>
        </w:numPr>
        <w:spacing w:before="160" w:line="278"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SUMMARY OF </w:t>
      </w:r>
      <w:r w:rsidR="0049128E">
        <w:rPr>
          <w:rFonts w:ascii="Times New Roman" w:hAnsi="Times New Roman" w:cs="Times New Roman"/>
          <w:b/>
          <w:bCs/>
          <w:color w:val="auto"/>
          <w:sz w:val="28"/>
          <w:szCs w:val="28"/>
        </w:rPr>
        <w:t>CLINICAL PHARMACOLOGY STUDIES</w:t>
      </w:r>
    </w:p>
    <w:p w14:paraId="4C185BA7" w14:textId="7B06B314" w:rsidR="55632A11" w:rsidRDefault="55632A11" w:rsidP="0E50753F">
      <w:pPr>
        <w:rPr>
          <w:rFonts w:ascii="Times New Roman" w:eastAsia="Times New Roman" w:hAnsi="Times New Roman" w:cs="Times New Roman"/>
          <w:sz w:val="24"/>
          <w:szCs w:val="24"/>
        </w:rPr>
      </w:pPr>
      <w:bookmarkStart w:id="0" w:name="_Toc131393901"/>
      <w:bookmarkStart w:id="1" w:name="_Toc133233868"/>
      <w:bookmarkStart w:id="2" w:name="_Toc139015977"/>
      <w:r w:rsidRPr="0E50753F">
        <w:rPr>
          <w:rFonts w:ascii="Times New Roman" w:eastAsia="Times New Roman" w:hAnsi="Times New Roman" w:cs="Times New Roman"/>
          <w:i/>
          <w:iCs/>
          <w:color w:val="000000" w:themeColor="text1"/>
          <w:sz w:val="24"/>
          <w:szCs w:val="24"/>
          <w:highlight w:val="yellow"/>
        </w:rPr>
        <w:t>Delete this explanatory text prior to submission.</w:t>
      </w:r>
      <w:r w:rsidRPr="0E50753F">
        <w:rPr>
          <w:rFonts w:ascii="Times New Roman" w:eastAsia="Times New Roman" w:hAnsi="Times New Roman" w:cs="Times New Roman"/>
          <w:i/>
          <w:iCs/>
          <w:color w:val="000000" w:themeColor="text1"/>
          <w:sz w:val="24"/>
          <w:szCs w:val="24"/>
          <w:highlight w:val="yellow"/>
          <w:lang w:val="en-GB"/>
        </w:rPr>
        <w:t xml:space="preserve"> When edits are complete, convert this document to a PDF, following the guidelines available in </w:t>
      </w:r>
      <w:hyperlink r:id="rId11" w:history="1">
        <w:r w:rsidRPr="0E50753F">
          <w:rPr>
            <w:rStyle w:val="Hyperlink"/>
            <w:rFonts w:ascii="Times New Roman" w:eastAsia="Times New Roman" w:hAnsi="Times New Roman" w:cs="Times New Roman"/>
            <w:i/>
            <w:iCs/>
            <w:sz w:val="24"/>
            <w:szCs w:val="24"/>
            <w:highlight w:val="yellow"/>
            <w:lang w:val="en-GB"/>
          </w:rPr>
          <w:t>PDF Specifications</w:t>
        </w:r>
      </w:hyperlink>
      <w:r w:rsidRPr="0E50753F">
        <w:rPr>
          <w:rFonts w:ascii="Times New Roman" w:eastAsia="Times New Roman" w:hAnsi="Times New Roman" w:cs="Times New Roman"/>
          <w:i/>
          <w:iCs/>
          <w:color w:val="000000" w:themeColor="text1"/>
          <w:sz w:val="24"/>
          <w:szCs w:val="24"/>
          <w:highlight w:val="yellow"/>
          <w:lang w:val="en-GB"/>
        </w:rPr>
        <w:t xml:space="preserve"> (published September 2016).</w:t>
      </w:r>
    </w:p>
    <w:p w14:paraId="750030A3" w14:textId="5AB8AC9B" w:rsidR="00BE5446" w:rsidRPr="00C25BA7" w:rsidRDefault="00BF3DE1" w:rsidP="00C25BA7">
      <w:pPr>
        <w:rPr>
          <w:rFonts w:ascii="Times New Roman" w:hAnsi="Times New Roman" w:cs="Times New Roman"/>
          <w:i/>
          <w:iCs/>
          <w:sz w:val="24"/>
          <w:szCs w:val="24"/>
          <w:highlight w:val="yellow"/>
        </w:rPr>
      </w:pPr>
      <w:r w:rsidRPr="00C25BA7">
        <w:rPr>
          <w:rFonts w:ascii="Times New Roman" w:hAnsi="Times New Roman" w:cs="Times New Roman"/>
          <w:i/>
          <w:iCs/>
          <w:sz w:val="24"/>
          <w:szCs w:val="24"/>
          <w:highlight w:val="yellow"/>
        </w:rPr>
        <w:t>These written summaries should be composed mainly of text, but inclusion of tables and figures</w:t>
      </w:r>
      <w:r w:rsidR="0069067D" w:rsidRPr="00C25BA7">
        <w:rPr>
          <w:rFonts w:ascii="Times New Roman" w:hAnsi="Times New Roman" w:cs="Times New Roman"/>
          <w:i/>
          <w:iCs/>
          <w:sz w:val="24"/>
          <w:szCs w:val="24"/>
          <w:highlight w:val="yellow"/>
        </w:rPr>
        <w:t xml:space="preserve"> </w:t>
      </w:r>
      <w:r w:rsidR="00E657EB" w:rsidRPr="00C25BA7">
        <w:rPr>
          <w:rFonts w:ascii="Times New Roman" w:hAnsi="Times New Roman" w:cs="Times New Roman"/>
          <w:i/>
          <w:iCs/>
          <w:sz w:val="24"/>
          <w:szCs w:val="24"/>
          <w:highlight w:val="yellow"/>
        </w:rPr>
        <w:t xml:space="preserve">within the text body </w:t>
      </w:r>
      <w:r w:rsidR="0006578D" w:rsidRPr="00C25BA7">
        <w:rPr>
          <w:rFonts w:ascii="Times New Roman" w:hAnsi="Times New Roman" w:cs="Times New Roman"/>
          <w:i/>
          <w:iCs/>
          <w:sz w:val="24"/>
          <w:szCs w:val="24"/>
          <w:highlight w:val="yellow"/>
        </w:rPr>
        <w:t>to more effectively convey certain information</w:t>
      </w:r>
      <w:r w:rsidR="002E3802" w:rsidRPr="00C25BA7">
        <w:rPr>
          <w:rFonts w:ascii="Times New Roman" w:hAnsi="Times New Roman" w:cs="Times New Roman"/>
          <w:i/>
          <w:iCs/>
          <w:sz w:val="24"/>
          <w:szCs w:val="24"/>
          <w:highlight w:val="yellow"/>
        </w:rPr>
        <w:t xml:space="preserve"> is</w:t>
      </w:r>
      <w:r w:rsidR="00DF5446" w:rsidRPr="00C25BA7">
        <w:rPr>
          <w:rFonts w:ascii="Times New Roman" w:hAnsi="Times New Roman" w:cs="Times New Roman"/>
          <w:i/>
          <w:iCs/>
          <w:sz w:val="24"/>
          <w:szCs w:val="24"/>
          <w:highlight w:val="yellow"/>
        </w:rPr>
        <w:t xml:space="preserve"> acceptable.</w:t>
      </w:r>
      <w:r w:rsidR="00E74203" w:rsidRPr="00E74203">
        <w:rPr>
          <w:rFonts w:ascii="Times New Roman" w:hAnsi="Times New Roman" w:cs="Times New Roman"/>
          <w:i/>
          <w:iCs/>
          <w:sz w:val="24"/>
          <w:szCs w:val="24"/>
          <w:highlight w:val="yellow"/>
        </w:rPr>
        <w:t xml:space="preserve"> </w:t>
      </w:r>
      <w:r w:rsidR="00E74203">
        <w:rPr>
          <w:rFonts w:ascii="Times New Roman" w:hAnsi="Times New Roman" w:cs="Times New Roman"/>
          <w:i/>
          <w:iCs/>
          <w:sz w:val="24"/>
          <w:szCs w:val="24"/>
          <w:highlight w:val="yellow"/>
        </w:rPr>
        <w:t>Clinical Summaries should provide a detailed, factual, and structured summary of the clinical data and should refrain from providing interpretations and conclusions.</w:t>
      </w:r>
    </w:p>
    <w:p w14:paraId="6A864C86" w14:textId="22CDE22C" w:rsidR="002B26D5" w:rsidRPr="00C25BA7" w:rsidRDefault="006C1FF6" w:rsidP="00C25BA7">
      <w:pPr>
        <w:rPr>
          <w:rFonts w:ascii="Times New Roman" w:hAnsi="Times New Roman" w:cs="Times New Roman"/>
          <w:i/>
          <w:iCs/>
          <w:sz w:val="24"/>
          <w:szCs w:val="24"/>
        </w:rPr>
      </w:pPr>
      <w:r w:rsidRPr="00C25BA7">
        <w:rPr>
          <w:rFonts w:ascii="Times New Roman" w:hAnsi="Times New Roman" w:cs="Times New Roman"/>
          <w:i/>
          <w:iCs/>
          <w:sz w:val="24"/>
          <w:szCs w:val="24"/>
          <w:highlight w:val="yellow"/>
        </w:rPr>
        <w:t>Consider inserting a table of contents to aid the FDA reviewer in the organization of this document, as well as tables of abbreviations used, and a table of tables and figures.</w:t>
      </w:r>
      <w:r w:rsidR="001A371D" w:rsidRPr="00C25BA7">
        <w:rPr>
          <w:rFonts w:ascii="Times New Roman" w:hAnsi="Times New Roman" w:cs="Times New Roman"/>
          <w:i/>
          <w:iCs/>
          <w:sz w:val="24"/>
          <w:szCs w:val="24"/>
          <w:highlight w:val="yellow"/>
        </w:rPr>
        <w:t xml:space="preserve"> </w:t>
      </w:r>
      <w:r w:rsidRPr="00C25BA7">
        <w:rPr>
          <w:rFonts w:ascii="Times New Roman" w:hAnsi="Times New Roman" w:cs="Times New Roman"/>
          <w:i/>
          <w:iCs/>
          <w:sz w:val="24"/>
          <w:szCs w:val="24"/>
          <w:highlight w:val="yellow"/>
        </w:rPr>
        <w:t>Delete any sections below that do not apply to your product (i.e. don’t include empty sections).</w:t>
      </w:r>
    </w:p>
    <w:bookmarkEnd w:id="0"/>
    <w:bookmarkEnd w:id="1"/>
    <w:bookmarkEnd w:id="2"/>
    <w:p w14:paraId="12DCE01E" w14:textId="598F075B" w:rsidR="00C47920" w:rsidRPr="00C47920" w:rsidRDefault="001A371D" w:rsidP="002B26D5">
      <w:pPr>
        <w:pStyle w:val="Heading1"/>
        <w:numPr>
          <w:ilvl w:val="3"/>
          <w:numId w:val="6"/>
        </w:numPr>
        <w:spacing w:before="160" w:line="278" w:lineRule="auto"/>
        <w:rPr>
          <w:rFonts w:ascii="Times New Roman" w:hAnsi="Times New Roman" w:cs="Times New Roman"/>
          <w:color w:val="auto"/>
          <w:sz w:val="28"/>
          <w:szCs w:val="28"/>
        </w:rPr>
      </w:pPr>
      <w:r>
        <w:rPr>
          <w:rFonts w:ascii="Times New Roman" w:hAnsi="Times New Roman" w:cs="Times New Roman"/>
          <w:color w:val="auto"/>
          <w:sz w:val="28"/>
          <w:szCs w:val="28"/>
        </w:rPr>
        <w:t>Background and Overview</w:t>
      </w:r>
    </w:p>
    <w:p w14:paraId="58CA8D09" w14:textId="10DE3F8F" w:rsidR="002B26D5" w:rsidRPr="00C47920" w:rsidRDefault="00C47920" w:rsidP="002B26D5">
      <w:pPr>
        <w:spacing w:before="160" w:after="80" w:line="278" w:lineRule="auto"/>
        <w:rPr>
          <w:rFonts w:ascii="Times New Roman" w:hAnsi="Times New Roman" w:cs="Times New Roman"/>
          <w:i/>
          <w:iCs/>
          <w:sz w:val="24"/>
          <w:szCs w:val="24"/>
        </w:rPr>
      </w:pPr>
      <w:r w:rsidRPr="1BF9ED96">
        <w:rPr>
          <w:rFonts w:ascii="Times New Roman" w:hAnsi="Times New Roman" w:cs="Times New Roman"/>
          <w:i/>
          <w:iCs/>
          <w:sz w:val="24"/>
          <w:szCs w:val="24"/>
          <w:highlight w:val="yellow"/>
        </w:rPr>
        <w:t xml:space="preserve">In this section, your goal is to provide the FDA with </w:t>
      </w:r>
      <w:r w:rsidR="001A371D" w:rsidRPr="1BF9ED96">
        <w:rPr>
          <w:rFonts w:ascii="Times New Roman" w:hAnsi="Times New Roman" w:cs="Times New Roman"/>
          <w:i/>
          <w:iCs/>
          <w:sz w:val="24"/>
          <w:szCs w:val="24"/>
          <w:highlight w:val="yellow"/>
        </w:rPr>
        <w:t xml:space="preserve">an overall view of the </w:t>
      </w:r>
      <w:r w:rsidR="006623B5">
        <w:rPr>
          <w:rFonts w:ascii="Times New Roman" w:hAnsi="Times New Roman" w:cs="Times New Roman"/>
          <w:i/>
          <w:iCs/>
          <w:sz w:val="24"/>
          <w:szCs w:val="24"/>
          <w:highlight w:val="yellow"/>
        </w:rPr>
        <w:t>clinical pharmacology studies,</w:t>
      </w:r>
      <w:r w:rsidR="001A371D" w:rsidRPr="1BF9ED96">
        <w:rPr>
          <w:rFonts w:ascii="Times New Roman" w:hAnsi="Times New Roman" w:cs="Times New Roman"/>
          <w:i/>
          <w:iCs/>
          <w:sz w:val="24"/>
          <w:szCs w:val="24"/>
          <w:highlight w:val="yellow"/>
        </w:rPr>
        <w:t xml:space="preserve"> </w:t>
      </w:r>
      <w:r w:rsidR="004D3B63">
        <w:rPr>
          <w:rFonts w:ascii="Times New Roman" w:hAnsi="Times New Roman" w:cs="Times New Roman"/>
          <w:i/>
          <w:iCs/>
          <w:sz w:val="24"/>
          <w:szCs w:val="24"/>
          <w:highlight w:val="yellow"/>
        </w:rPr>
        <w:t>including</w:t>
      </w:r>
      <w:r w:rsidR="001A371D" w:rsidRPr="1BF9ED96">
        <w:rPr>
          <w:rFonts w:ascii="Times New Roman" w:hAnsi="Times New Roman" w:cs="Times New Roman"/>
          <w:i/>
          <w:iCs/>
          <w:sz w:val="24"/>
          <w:szCs w:val="24"/>
          <w:highlight w:val="yellow"/>
        </w:rPr>
        <w:t xml:space="preserve"> the in vitro</w:t>
      </w:r>
      <w:r w:rsidR="2261501F" w:rsidRPr="1BF9ED96">
        <w:rPr>
          <w:rFonts w:ascii="Times New Roman" w:hAnsi="Times New Roman" w:cs="Times New Roman"/>
          <w:i/>
          <w:iCs/>
          <w:sz w:val="24"/>
          <w:szCs w:val="24"/>
          <w:highlight w:val="yellow"/>
        </w:rPr>
        <w:t xml:space="preserve"> (performed in human biomaterials)</w:t>
      </w:r>
      <w:r w:rsidR="001A371D" w:rsidRPr="1BF9ED96">
        <w:rPr>
          <w:rFonts w:ascii="Times New Roman" w:hAnsi="Times New Roman" w:cs="Times New Roman"/>
          <w:i/>
          <w:iCs/>
          <w:sz w:val="24"/>
          <w:szCs w:val="24"/>
          <w:highlight w:val="yellow"/>
        </w:rPr>
        <w:t xml:space="preserve"> and in vivo dosage form performance, and the general approach and rationale used in developing the bioavailability, comparative bioavailability, bioequivalence, and </w:t>
      </w:r>
      <w:r w:rsidR="0010069E" w:rsidRPr="1BF9ED96">
        <w:rPr>
          <w:rFonts w:ascii="Times New Roman" w:hAnsi="Times New Roman" w:cs="Times New Roman"/>
          <w:i/>
          <w:iCs/>
          <w:sz w:val="24"/>
          <w:szCs w:val="24"/>
          <w:highlight w:val="yellow"/>
        </w:rPr>
        <w:t>in vitro dissolution profile database</w:t>
      </w:r>
      <w:r w:rsidR="002C6CF8" w:rsidRPr="1BF9ED96">
        <w:rPr>
          <w:rFonts w:ascii="Times New Roman" w:hAnsi="Times New Roman" w:cs="Times New Roman"/>
          <w:i/>
          <w:iCs/>
          <w:sz w:val="24"/>
          <w:szCs w:val="24"/>
          <w:highlight w:val="yellow"/>
        </w:rPr>
        <w:t>. Provide an overview of analytical methods, emphasizing performance characteristics of assay validation and quality control.</w:t>
      </w:r>
      <w:r w:rsidRPr="1BF9ED96">
        <w:rPr>
          <w:rFonts w:ascii="Times New Roman" w:hAnsi="Times New Roman" w:cs="Times New Roman"/>
          <w:i/>
          <w:iCs/>
          <w:sz w:val="24"/>
          <w:szCs w:val="24"/>
          <w:highlight w:val="yellow"/>
        </w:rPr>
        <w:t xml:space="preserve"> </w:t>
      </w:r>
      <w:r w:rsidR="001A371D" w:rsidRPr="1BF9ED96">
        <w:rPr>
          <w:rFonts w:ascii="Times New Roman" w:hAnsi="Times New Roman" w:cs="Times New Roman"/>
          <w:i/>
          <w:iCs/>
          <w:sz w:val="24"/>
          <w:szCs w:val="24"/>
          <w:highlight w:val="yellow"/>
        </w:rPr>
        <w:t>Refrain from including detailed information about individual studies.</w:t>
      </w:r>
    </w:p>
    <w:p w14:paraId="7F2D778F" w14:textId="10D46866" w:rsidR="00C47920" w:rsidRPr="00C47920" w:rsidRDefault="001A371D" w:rsidP="002B26D5">
      <w:pPr>
        <w:pStyle w:val="Heading1"/>
        <w:numPr>
          <w:ilvl w:val="3"/>
          <w:numId w:val="6"/>
        </w:numPr>
        <w:spacing w:before="160" w:line="278" w:lineRule="auto"/>
        <w:rPr>
          <w:rFonts w:ascii="Times New Roman" w:hAnsi="Times New Roman" w:cs="Times New Roman"/>
          <w:color w:val="auto"/>
          <w:sz w:val="28"/>
          <w:szCs w:val="28"/>
        </w:rPr>
      </w:pPr>
      <w:r>
        <w:rPr>
          <w:rFonts w:ascii="Times New Roman" w:hAnsi="Times New Roman" w:cs="Times New Roman"/>
          <w:color w:val="auto"/>
          <w:sz w:val="28"/>
          <w:szCs w:val="28"/>
        </w:rPr>
        <w:t>Summary of Results of Individual Studies</w:t>
      </w:r>
    </w:p>
    <w:p w14:paraId="6916230A" w14:textId="76E27374" w:rsidR="002B26D5" w:rsidRPr="00790E7D" w:rsidRDefault="001A371D" w:rsidP="002B26D5">
      <w:pPr>
        <w:spacing w:before="160" w:after="80" w:line="278" w:lineRule="auto"/>
        <w:rPr>
          <w:rFonts w:ascii="Times New Roman" w:hAnsi="Times New Roman" w:cs="Times New Roman"/>
          <w:i/>
          <w:iCs/>
          <w:sz w:val="24"/>
          <w:szCs w:val="24"/>
        </w:rPr>
      </w:pPr>
      <w:r w:rsidRPr="7AB66B26">
        <w:rPr>
          <w:rFonts w:ascii="Times New Roman" w:hAnsi="Times New Roman" w:cs="Times New Roman"/>
          <w:i/>
          <w:iCs/>
          <w:sz w:val="24"/>
          <w:szCs w:val="24"/>
          <w:highlight w:val="yellow"/>
        </w:rPr>
        <w:t>A tabular listing of all biopharmaceutic studies (bioavailability and bioequivalence) should be provided</w:t>
      </w:r>
      <w:r w:rsidR="00B738D4" w:rsidRPr="7AB66B26">
        <w:rPr>
          <w:rFonts w:ascii="Times New Roman" w:hAnsi="Times New Roman" w:cs="Times New Roman"/>
          <w:i/>
          <w:iCs/>
          <w:sz w:val="24"/>
          <w:szCs w:val="24"/>
          <w:highlight w:val="yellow"/>
        </w:rPr>
        <w:t xml:space="preserve"> (lengthy tables can be added to the 2.7.</w:t>
      </w:r>
      <w:r w:rsidR="00D36D82" w:rsidRPr="7AB66B26">
        <w:rPr>
          <w:rFonts w:ascii="Times New Roman" w:hAnsi="Times New Roman" w:cs="Times New Roman"/>
          <w:i/>
          <w:iCs/>
          <w:sz w:val="24"/>
          <w:szCs w:val="24"/>
          <w:highlight w:val="yellow"/>
        </w:rPr>
        <w:t>2.5</w:t>
      </w:r>
      <w:r w:rsidR="00B738D4" w:rsidRPr="7AB66B26">
        <w:rPr>
          <w:rFonts w:ascii="Times New Roman" w:hAnsi="Times New Roman" w:cs="Times New Roman"/>
          <w:i/>
          <w:iCs/>
          <w:sz w:val="24"/>
          <w:szCs w:val="24"/>
          <w:highlight w:val="yellow"/>
        </w:rPr>
        <w:t xml:space="preserve"> Appendix section and cross-linked)</w:t>
      </w:r>
      <w:r w:rsidRPr="7AB66B26">
        <w:rPr>
          <w:rFonts w:ascii="Times New Roman" w:hAnsi="Times New Roman" w:cs="Times New Roman"/>
          <w:i/>
          <w:iCs/>
          <w:sz w:val="24"/>
          <w:szCs w:val="24"/>
          <w:highlight w:val="yellow"/>
        </w:rPr>
        <w:t>, with narrative descriptions of relevant features and outcomes of each of the individual studies that provided important in vitro or in vivo data.</w:t>
      </w:r>
      <w:r w:rsidR="00CE2012" w:rsidRPr="7AB66B26">
        <w:rPr>
          <w:rFonts w:ascii="Times New Roman" w:hAnsi="Times New Roman" w:cs="Times New Roman"/>
          <w:i/>
          <w:iCs/>
          <w:sz w:val="24"/>
          <w:szCs w:val="24"/>
          <w:highlight w:val="yellow"/>
        </w:rPr>
        <w:t xml:space="preserve"> </w:t>
      </w:r>
      <w:r w:rsidR="00476138">
        <w:rPr>
          <w:rFonts w:ascii="Times New Roman" w:hAnsi="Times New Roman" w:cs="Times New Roman"/>
          <w:i/>
          <w:iCs/>
          <w:sz w:val="24"/>
          <w:szCs w:val="24"/>
          <w:highlight w:val="yellow"/>
        </w:rPr>
        <w:t xml:space="preserve">Summaries of dose-response or concentration response (PK/PD) studies with PD endpoints should generally be included in this section. </w:t>
      </w:r>
      <w:r w:rsidR="00CE2012" w:rsidRPr="7AB66B26">
        <w:rPr>
          <w:rFonts w:ascii="Times New Roman" w:hAnsi="Times New Roman" w:cs="Times New Roman"/>
          <w:i/>
          <w:iCs/>
          <w:sz w:val="24"/>
          <w:szCs w:val="24"/>
          <w:highlight w:val="yellow"/>
        </w:rPr>
        <w:t xml:space="preserve">The narrative descriptions </w:t>
      </w:r>
      <w:r w:rsidR="00461345" w:rsidRPr="7AB66B26">
        <w:rPr>
          <w:rFonts w:ascii="Times New Roman" w:hAnsi="Times New Roman" w:cs="Times New Roman"/>
          <w:i/>
          <w:iCs/>
          <w:sz w:val="24"/>
          <w:szCs w:val="24"/>
          <w:highlight w:val="yellow"/>
        </w:rPr>
        <w:t xml:space="preserve">of each study </w:t>
      </w:r>
      <w:r w:rsidR="00CE2012" w:rsidRPr="7AB66B26">
        <w:rPr>
          <w:rFonts w:ascii="Times New Roman" w:hAnsi="Times New Roman" w:cs="Times New Roman"/>
          <w:i/>
          <w:iCs/>
          <w:sz w:val="24"/>
          <w:szCs w:val="24"/>
          <w:highlight w:val="yellow"/>
        </w:rPr>
        <w:t>should be similar in length to an abstract for a journal article</w:t>
      </w:r>
      <w:r w:rsidR="00D16CE4" w:rsidRPr="7AB66B26">
        <w:rPr>
          <w:rFonts w:ascii="Times New Roman" w:hAnsi="Times New Roman" w:cs="Times New Roman"/>
          <w:i/>
          <w:iCs/>
          <w:sz w:val="24"/>
          <w:szCs w:val="24"/>
          <w:highlight w:val="yellow"/>
        </w:rPr>
        <w:t xml:space="preserve"> and should describe critical design features and critical results.</w:t>
      </w:r>
      <w:r w:rsidR="00461345" w:rsidRPr="7AB66B26">
        <w:rPr>
          <w:rFonts w:ascii="Times New Roman" w:hAnsi="Times New Roman" w:cs="Times New Roman"/>
          <w:i/>
          <w:iCs/>
          <w:sz w:val="24"/>
          <w:szCs w:val="24"/>
          <w:highlight w:val="yellow"/>
        </w:rPr>
        <w:t xml:space="preserve"> References or links to the full report of each study should be included in the narratives.</w:t>
      </w:r>
    </w:p>
    <w:p w14:paraId="488A0280" w14:textId="78124BD6" w:rsidR="00C47920" w:rsidRPr="00C47920" w:rsidRDefault="001A371D" w:rsidP="002B26D5">
      <w:pPr>
        <w:pStyle w:val="Heading1"/>
        <w:numPr>
          <w:ilvl w:val="3"/>
          <w:numId w:val="6"/>
        </w:numPr>
        <w:spacing w:before="160" w:line="278" w:lineRule="auto"/>
        <w:rPr>
          <w:rFonts w:ascii="Times New Roman" w:hAnsi="Times New Roman" w:cs="Times New Roman"/>
          <w:color w:val="auto"/>
          <w:sz w:val="28"/>
          <w:szCs w:val="28"/>
        </w:rPr>
      </w:pPr>
      <w:r>
        <w:rPr>
          <w:rFonts w:ascii="Times New Roman" w:hAnsi="Times New Roman" w:cs="Times New Roman"/>
          <w:color w:val="auto"/>
          <w:sz w:val="28"/>
          <w:szCs w:val="28"/>
        </w:rPr>
        <w:t>Comparison and Analyses of Results Across Studies</w:t>
      </w:r>
    </w:p>
    <w:p w14:paraId="096D307E" w14:textId="0357BF10" w:rsidR="002B26D5" w:rsidRPr="00C47920" w:rsidRDefault="00315399" w:rsidP="002B26D5">
      <w:pPr>
        <w:spacing w:before="160" w:after="80" w:line="278" w:lineRule="auto"/>
        <w:rPr>
          <w:rFonts w:ascii="Times New Roman" w:hAnsi="Times New Roman" w:cs="Times New Roman"/>
          <w:i/>
          <w:iCs/>
          <w:sz w:val="24"/>
          <w:szCs w:val="24"/>
        </w:rPr>
      </w:pPr>
      <w:r w:rsidRPr="00FD27F2">
        <w:rPr>
          <w:rFonts w:ascii="Times New Roman" w:hAnsi="Times New Roman" w:cs="Times New Roman"/>
          <w:i/>
          <w:iCs/>
          <w:sz w:val="24"/>
          <w:szCs w:val="24"/>
          <w:highlight w:val="yellow"/>
        </w:rPr>
        <w:t xml:space="preserve">This section should </w:t>
      </w:r>
      <w:r w:rsidR="00FD27F2" w:rsidRPr="00FD27F2">
        <w:rPr>
          <w:rFonts w:ascii="Times New Roman" w:hAnsi="Times New Roman" w:cs="Times New Roman"/>
          <w:i/>
          <w:iCs/>
          <w:sz w:val="24"/>
          <w:szCs w:val="24"/>
          <w:highlight w:val="yellow"/>
        </w:rPr>
        <w:t>provide a factual presentation</w:t>
      </w:r>
      <w:r w:rsidRPr="00FD27F2">
        <w:rPr>
          <w:rFonts w:ascii="Times New Roman" w:hAnsi="Times New Roman" w:cs="Times New Roman"/>
          <w:i/>
          <w:iCs/>
          <w:sz w:val="24"/>
          <w:szCs w:val="24"/>
          <w:highlight w:val="yellow"/>
        </w:rPr>
        <w:t xml:space="preserve"> of all </w:t>
      </w:r>
      <w:r w:rsidR="00FD27F2" w:rsidRPr="00FD27F2">
        <w:rPr>
          <w:rFonts w:ascii="Times New Roman" w:hAnsi="Times New Roman" w:cs="Times New Roman"/>
          <w:i/>
          <w:iCs/>
          <w:sz w:val="24"/>
          <w:szCs w:val="24"/>
          <w:highlight w:val="yellow"/>
        </w:rPr>
        <w:t xml:space="preserve">data across studies pertinent to </w:t>
      </w:r>
      <w:r w:rsidRPr="00FD27F2">
        <w:rPr>
          <w:rFonts w:ascii="Times New Roman" w:hAnsi="Times New Roman" w:cs="Times New Roman"/>
          <w:i/>
          <w:iCs/>
          <w:sz w:val="24"/>
          <w:szCs w:val="24"/>
          <w:highlight w:val="yellow"/>
        </w:rPr>
        <w:t xml:space="preserve">in vitro human biomaterial studies and PK, PD, and PK/PD studies to characterize the </w:t>
      </w:r>
      <w:r w:rsidR="00FD27F2" w:rsidRPr="00FD27F2">
        <w:rPr>
          <w:rFonts w:ascii="Times New Roman" w:hAnsi="Times New Roman" w:cs="Times New Roman"/>
          <w:i/>
          <w:iCs/>
          <w:sz w:val="24"/>
          <w:szCs w:val="24"/>
          <w:highlight w:val="yellow"/>
        </w:rPr>
        <w:t>pharmacologic relationships of the drug. Results related to the inter- and intraindividual variability in these data and the intrinsic and extrinsic factors affecting these PK relationships should be discussed. Studies that use PD biomarkers but do not evaluate clinical efficacy may be summarized here.</w:t>
      </w:r>
      <w:r w:rsidR="00FD27F2">
        <w:rPr>
          <w:rFonts w:ascii="Times New Roman" w:hAnsi="Times New Roman" w:cs="Times New Roman"/>
          <w:i/>
          <w:iCs/>
          <w:sz w:val="24"/>
          <w:szCs w:val="24"/>
        </w:rPr>
        <w:t xml:space="preserve"> </w:t>
      </w:r>
    </w:p>
    <w:p w14:paraId="0BF07EB9" w14:textId="10278401" w:rsidR="00C47920" w:rsidRDefault="0049128E" w:rsidP="002B26D5">
      <w:pPr>
        <w:pStyle w:val="Heading1"/>
        <w:numPr>
          <w:ilvl w:val="3"/>
          <w:numId w:val="6"/>
        </w:numPr>
        <w:spacing w:before="160" w:line="278" w:lineRule="auto"/>
        <w:rPr>
          <w:rFonts w:ascii="Times New Roman" w:hAnsi="Times New Roman" w:cs="Times New Roman"/>
          <w:color w:val="auto"/>
          <w:sz w:val="28"/>
          <w:szCs w:val="28"/>
        </w:rPr>
      </w:pPr>
      <w:r>
        <w:rPr>
          <w:rFonts w:ascii="Times New Roman" w:hAnsi="Times New Roman" w:cs="Times New Roman"/>
          <w:color w:val="auto"/>
          <w:sz w:val="28"/>
          <w:szCs w:val="28"/>
        </w:rPr>
        <w:lastRenderedPageBreak/>
        <w:t>Special Studies</w:t>
      </w:r>
    </w:p>
    <w:p w14:paraId="795C73F8" w14:textId="08106B6D" w:rsidR="002B26D5" w:rsidRPr="00FF2883" w:rsidRDefault="0049128E" w:rsidP="002B26D5">
      <w:pPr>
        <w:spacing w:before="160" w:after="80" w:line="278" w:lineRule="auto"/>
        <w:rPr>
          <w:rFonts w:ascii="Times New Roman" w:hAnsi="Times New Roman" w:cs="Times New Roman"/>
          <w:i/>
          <w:iCs/>
          <w:sz w:val="24"/>
          <w:szCs w:val="24"/>
        </w:rPr>
      </w:pPr>
      <w:r w:rsidRPr="00FF2883">
        <w:rPr>
          <w:rFonts w:ascii="Times New Roman" w:hAnsi="Times New Roman" w:cs="Times New Roman"/>
          <w:i/>
          <w:iCs/>
          <w:sz w:val="24"/>
          <w:szCs w:val="24"/>
          <w:highlight w:val="yellow"/>
        </w:rPr>
        <w:t xml:space="preserve">Use this section to include </w:t>
      </w:r>
      <w:r w:rsidR="00315399" w:rsidRPr="00FF2883">
        <w:rPr>
          <w:rFonts w:ascii="Times New Roman" w:hAnsi="Times New Roman" w:cs="Times New Roman"/>
          <w:i/>
          <w:iCs/>
          <w:sz w:val="24"/>
          <w:szCs w:val="24"/>
          <w:highlight w:val="yellow"/>
        </w:rPr>
        <w:t>studies that provide special types of data relevant to specific types of medicinal products (ex. Immunogenicity data for gene editing therapies). For immunogenicity studies and other studies in which data may correlate with PK, PD, safety, and/or efficacy data, explanations of such correlations should be summarized here. Any observed or potential effects on pharmacokinetics, pharmacodynamics, safety and/or efficacy should be considered in other appropriate sections of the Clinical Summary as well, with cross-referencing to this section. Human studies that address a specific safety issue should not be reported here, but instead should be reported in section 2.7.4, Summary of Clinical Safety. Full reports belonging in the “special studies” section will be detailed in Module 5.3.5.4.</w:t>
      </w:r>
    </w:p>
    <w:p w14:paraId="5A189E87" w14:textId="64399918" w:rsidR="0049128E" w:rsidRDefault="0049128E" w:rsidP="002B26D5">
      <w:pPr>
        <w:pStyle w:val="ListParagraph"/>
        <w:numPr>
          <w:ilvl w:val="3"/>
          <w:numId w:val="6"/>
        </w:numPr>
        <w:spacing w:before="160" w:after="80" w:line="278" w:lineRule="auto"/>
        <w:contextualSpacing w:val="0"/>
        <w:rPr>
          <w:rFonts w:ascii="Times New Roman" w:hAnsi="Times New Roman" w:cs="Times New Roman"/>
          <w:sz w:val="28"/>
          <w:szCs w:val="28"/>
        </w:rPr>
      </w:pPr>
      <w:r w:rsidRPr="0049128E">
        <w:rPr>
          <w:rFonts w:ascii="Times New Roman" w:hAnsi="Times New Roman" w:cs="Times New Roman"/>
          <w:sz w:val="28"/>
          <w:szCs w:val="28"/>
        </w:rPr>
        <w:t>Appendix</w:t>
      </w:r>
    </w:p>
    <w:p w14:paraId="4F1DA544" w14:textId="0CC25D65" w:rsidR="0049128E" w:rsidRPr="0049128E" w:rsidRDefault="0049128E" w:rsidP="002B26D5">
      <w:pPr>
        <w:spacing w:before="160" w:after="80" w:line="278" w:lineRule="auto"/>
        <w:rPr>
          <w:rFonts w:ascii="Times New Roman" w:hAnsi="Times New Roman" w:cs="Times New Roman"/>
          <w:i/>
          <w:iCs/>
          <w:sz w:val="24"/>
          <w:szCs w:val="24"/>
        </w:rPr>
      </w:pPr>
      <w:r w:rsidRPr="0049128E">
        <w:rPr>
          <w:rFonts w:ascii="Times New Roman" w:hAnsi="Times New Roman" w:cs="Times New Roman"/>
          <w:i/>
          <w:iCs/>
          <w:sz w:val="24"/>
          <w:szCs w:val="24"/>
          <w:highlight w:val="yellow"/>
        </w:rPr>
        <w:t xml:space="preserve">Use this section to include lengthy tables. </w:t>
      </w:r>
      <w:r w:rsidR="00797C22">
        <w:rPr>
          <w:rFonts w:ascii="Times New Roman" w:hAnsi="Times New Roman" w:cs="Times New Roman"/>
          <w:i/>
          <w:iCs/>
          <w:sz w:val="24"/>
          <w:szCs w:val="24"/>
          <w:highlight w:val="yellow"/>
        </w:rPr>
        <w:t>S</w:t>
      </w:r>
      <w:r w:rsidRPr="0049128E">
        <w:rPr>
          <w:rFonts w:ascii="Times New Roman" w:hAnsi="Times New Roman" w:cs="Times New Roman"/>
          <w:i/>
          <w:iCs/>
          <w:sz w:val="24"/>
          <w:szCs w:val="24"/>
          <w:highlight w:val="yellow"/>
        </w:rPr>
        <w:t xml:space="preserve">maller tables can be embedded in the text of the appropriate sections when they enhance the </w:t>
      </w:r>
      <w:r w:rsidR="00FF2883" w:rsidRPr="0049128E">
        <w:rPr>
          <w:rFonts w:ascii="Times New Roman" w:hAnsi="Times New Roman" w:cs="Times New Roman"/>
          <w:i/>
          <w:iCs/>
          <w:sz w:val="24"/>
          <w:szCs w:val="24"/>
          <w:highlight w:val="yellow"/>
        </w:rPr>
        <w:t>readability</w:t>
      </w:r>
      <w:r w:rsidRPr="0049128E">
        <w:rPr>
          <w:rFonts w:ascii="Times New Roman" w:hAnsi="Times New Roman" w:cs="Times New Roman"/>
          <w:i/>
          <w:iCs/>
          <w:sz w:val="24"/>
          <w:szCs w:val="24"/>
          <w:highlight w:val="yellow"/>
        </w:rPr>
        <w:t xml:space="preserve"> of the document.</w:t>
      </w:r>
    </w:p>
    <w:p w14:paraId="28A2B12F" w14:textId="77777777" w:rsidR="0049128E" w:rsidRPr="0049128E" w:rsidRDefault="0049128E" w:rsidP="002B26D5">
      <w:pPr>
        <w:spacing w:before="160" w:after="80" w:line="278" w:lineRule="auto"/>
        <w:rPr>
          <w:rFonts w:ascii="Times New Roman" w:hAnsi="Times New Roman" w:cs="Times New Roman"/>
          <w:sz w:val="28"/>
          <w:szCs w:val="28"/>
        </w:rPr>
      </w:pPr>
    </w:p>
    <w:p w14:paraId="3BAA4ACF" w14:textId="5AD979CA" w:rsidR="002C43B8" w:rsidRPr="006C1FF6" w:rsidRDefault="00C47920" w:rsidP="006C1FF6">
      <w:pPr>
        <w:ind w:left="360"/>
        <w:rPr>
          <w:rFonts w:ascii="Times New Roman" w:hAnsi="Times New Roman" w:cs="Times New Roman"/>
          <w:i/>
          <w:iCs/>
          <w:sz w:val="24"/>
          <w:szCs w:val="24"/>
        </w:rPr>
      </w:pPr>
      <w:r w:rsidRPr="00C47920">
        <w:rPr>
          <w:rFonts w:ascii="Times New Roman" w:hAnsi="Times New Roman" w:cs="Times New Roman"/>
          <w:i/>
          <w:iCs/>
          <w:sz w:val="24"/>
          <w:szCs w:val="24"/>
        </w:rPr>
        <w:t xml:space="preserve"> </w:t>
      </w:r>
    </w:p>
    <w:sectPr w:rsidR="002C43B8" w:rsidRPr="006C1FF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5E83" w14:textId="77777777" w:rsidR="00006334" w:rsidRDefault="00006334" w:rsidP="006C1FF6">
      <w:pPr>
        <w:spacing w:after="0" w:line="240" w:lineRule="auto"/>
      </w:pPr>
      <w:r>
        <w:separator/>
      </w:r>
    </w:p>
  </w:endnote>
  <w:endnote w:type="continuationSeparator" w:id="0">
    <w:p w14:paraId="19F9E088" w14:textId="77777777" w:rsidR="00006334" w:rsidRDefault="00006334" w:rsidP="006C1FF6">
      <w:pPr>
        <w:spacing w:after="0" w:line="240" w:lineRule="auto"/>
      </w:pPr>
      <w:r>
        <w:continuationSeparator/>
      </w:r>
    </w:p>
  </w:endnote>
  <w:endnote w:type="continuationNotice" w:id="1">
    <w:p w14:paraId="3CABD9EF" w14:textId="77777777" w:rsidR="00605359" w:rsidRDefault="00605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208321"/>
      <w:docPartObj>
        <w:docPartGallery w:val="Page Numbers (Bottom of Page)"/>
        <w:docPartUnique/>
      </w:docPartObj>
    </w:sdtPr>
    <w:sdtEndPr>
      <w:rPr>
        <w:rStyle w:val="PageNumber"/>
      </w:rPr>
    </w:sdtEndPr>
    <w:sdtContent>
      <w:p w14:paraId="3058D829" w14:textId="767BAD4C" w:rsidR="006C1FF6" w:rsidRDefault="006C1FF6" w:rsidP="00791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D0E12B" w14:textId="77777777" w:rsidR="006C1FF6" w:rsidRDefault="006C1FF6" w:rsidP="006C1F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069D" w14:textId="04E16DD2" w:rsidR="006C1FF6" w:rsidRDefault="006C1FF6" w:rsidP="007919EC">
    <w:pPr>
      <w:pStyle w:val="Footer"/>
      <w:framePr w:wrap="none" w:vAnchor="text" w:hAnchor="margin" w:xAlign="right" w:y="1"/>
      <w:rPr>
        <w:rStyle w:val="PageNumber"/>
      </w:rPr>
    </w:pPr>
    <w:r>
      <w:rPr>
        <w:rStyle w:val="PageNumber"/>
      </w:rPr>
      <w:t>Module 2.</w:t>
    </w:r>
    <w:r w:rsidR="001A371D">
      <w:rPr>
        <w:rStyle w:val="PageNumber"/>
      </w:rPr>
      <w:t>7</w:t>
    </w:r>
    <w:r>
      <w:rPr>
        <w:rStyle w:val="PageNumber"/>
      </w:rPr>
      <w:t>.</w:t>
    </w:r>
    <w:r w:rsidR="0049128E">
      <w:rPr>
        <w:rStyle w:val="PageNumber"/>
      </w:rPr>
      <w:t>2</w:t>
    </w:r>
    <w:r>
      <w:rPr>
        <w:rStyle w:val="PageNumber"/>
      </w:rPr>
      <w:t xml:space="preserve">, Page </w:t>
    </w:r>
    <w:sdt>
      <w:sdtPr>
        <w:rPr>
          <w:rStyle w:val="PageNumber"/>
        </w:rPr>
        <w:id w:val="-677193780"/>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006B9102" w14:textId="747A153B" w:rsidR="006C1FF6" w:rsidRDefault="006C1FF6" w:rsidP="006C1FF6">
    <w:pPr>
      <w:pStyle w:val="Footer"/>
      <w:ind w:right="360"/>
    </w:pPr>
    <w:r>
      <w:t xml:space="preserve">Investigational New Drug No. </w:t>
    </w:r>
    <w:r w:rsidRPr="0054653A">
      <w:rPr>
        <w:i/>
        <w:iCs/>
        <w:highlight w:val="yellow"/>
      </w:rPr>
      <w:t>XXXXX</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43D8" w14:textId="77777777" w:rsidR="0054653A" w:rsidRDefault="0054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C004" w14:textId="77777777" w:rsidR="00006334" w:rsidRDefault="00006334" w:rsidP="006C1FF6">
      <w:pPr>
        <w:spacing w:after="0" w:line="240" w:lineRule="auto"/>
      </w:pPr>
      <w:r>
        <w:separator/>
      </w:r>
    </w:p>
  </w:footnote>
  <w:footnote w:type="continuationSeparator" w:id="0">
    <w:p w14:paraId="221FA247" w14:textId="77777777" w:rsidR="00006334" w:rsidRDefault="00006334" w:rsidP="006C1FF6">
      <w:pPr>
        <w:spacing w:after="0" w:line="240" w:lineRule="auto"/>
      </w:pPr>
      <w:r>
        <w:continuationSeparator/>
      </w:r>
    </w:p>
  </w:footnote>
  <w:footnote w:type="continuationNotice" w:id="1">
    <w:p w14:paraId="12290533" w14:textId="77777777" w:rsidR="00605359" w:rsidRDefault="006053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DB7F" w14:textId="77777777" w:rsidR="0054653A" w:rsidRDefault="00546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DE45" w14:textId="1C9349E3" w:rsidR="006C1FF6" w:rsidRDefault="006C1FF6">
    <w:pPr>
      <w:pStyle w:val="Header"/>
    </w:pPr>
    <w:r>
      <w:ptab w:relativeTo="margin" w:alignment="center" w:leader="none"/>
    </w:r>
    <w:r>
      <w:t>Title of Application</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21FC" w14:textId="77777777" w:rsidR="0054653A" w:rsidRDefault="00546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24C1"/>
    <w:multiLevelType w:val="hybridMultilevel"/>
    <w:tmpl w:val="5EDCBC4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AA5805"/>
    <w:multiLevelType w:val="multilevel"/>
    <w:tmpl w:val="FCEA2E38"/>
    <w:lvl w:ilvl="0">
      <w:start w:val="2"/>
      <w:numFmt w:val="decimal"/>
      <w:lvlText w:val="%1."/>
      <w:lvlJc w:val="left"/>
      <w:pPr>
        <w:ind w:left="640" w:hanging="6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B9E629B"/>
    <w:multiLevelType w:val="multilevel"/>
    <w:tmpl w:val="4038309E"/>
    <w:lvl w:ilvl="0">
      <w:start w:val="2"/>
      <w:numFmt w:val="decimal"/>
      <w:lvlText w:val="%1."/>
      <w:lvlJc w:val="left"/>
      <w:pPr>
        <w:ind w:left="560" w:hanging="56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4E4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6B47EA"/>
    <w:multiLevelType w:val="hybridMultilevel"/>
    <w:tmpl w:val="F544CC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7288F"/>
    <w:multiLevelType w:val="multilevel"/>
    <w:tmpl w:val="EB92E006"/>
    <w:lvl w:ilvl="0">
      <w:start w:val="2"/>
      <w:numFmt w:val="decimal"/>
      <w:lvlText w:val="%1."/>
      <w:lvlJc w:val="left"/>
      <w:pPr>
        <w:ind w:left="640" w:hanging="64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i w:val="0"/>
        <w:iCs w:val="0"/>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85636023">
    <w:abstractNumId w:val="3"/>
  </w:num>
  <w:num w:numId="2" w16cid:durableId="943607828">
    <w:abstractNumId w:val="2"/>
  </w:num>
  <w:num w:numId="3" w16cid:durableId="479425479">
    <w:abstractNumId w:val="4"/>
  </w:num>
  <w:num w:numId="4" w16cid:durableId="1841769482">
    <w:abstractNumId w:val="0"/>
  </w:num>
  <w:num w:numId="5" w16cid:durableId="1274284609">
    <w:abstractNumId w:val="1"/>
  </w:num>
  <w:num w:numId="6" w16cid:durableId="1748382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20"/>
    <w:rsid w:val="00004BB7"/>
    <w:rsid w:val="00006334"/>
    <w:rsid w:val="000075E1"/>
    <w:rsid w:val="00020449"/>
    <w:rsid w:val="00033AE7"/>
    <w:rsid w:val="0006172D"/>
    <w:rsid w:val="0006578D"/>
    <w:rsid w:val="000C702B"/>
    <w:rsid w:val="000E15C9"/>
    <w:rsid w:val="000E1944"/>
    <w:rsid w:val="000F4B30"/>
    <w:rsid w:val="0010069E"/>
    <w:rsid w:val="00113C09"/>
    <w:rsid w:val="001442E2"/>
    <w:rsid w:val="00145963"/>
    <w:rsid w:val="001A371D"/>
    <w:rsid w:val="001C1B3E"/>
    <w:rsid w:val="001D4983"/>
    <w:rsid w:val="001D6A41"/>
    <w:rsid w:val="0022662F"/>
    <w:rsid w:val="0023699D"/>
    <w:rsid w:val="00247F1A"/>
    <w:rsid w:val="00253A47"/>
    <w:rsid w:val="002648D4"/>
    <w:rsid w:val="00270B92"/>
    <w:rsid w:val="002A109E"/>
    <w:rsid w:val="002A58DD"/>
    <w:rsid w:val="002B26D5"/>
    <w:rsid w:val="002C29F5"/>
    <w:rsid w:val="002C43B8"/>
    <w:rsid w:val="002C6CF8"/>
    <w:rsid w:val="002E3802"/>
    <w:rsid w:val="002E385B"/>
    <w:rsid w:val="002E65A1"/>
    <w:rsid w:val="00304590"/>
    <w:rsid w:val="00315399"/>
    <w:rsid w:val="00316009"/>
    <w:rsid w:val="003303A0"/>
    <w:rsid w:val="003308B6"/>
    <w:rsid w:val="00331400"/>
    <w:rsid w:val="003377DC"/>
    <w:rsid w:val="00342732"/>
    <w:rsid w:val="00345229"/>
    <w:rsid w:val="0034629C"/>
    <w:rsid w:val="00374394"/>
    <w:rsid w:val="00390A37"/>
    <w:rsid w:val="003921CD"/>
    <w:rsid w:val="00395596"/>
    <w:rsid w:val="003A2D65"/>
    <w:rsid w:val="003A4D15"/>
    <w:rsid w:val="003C28F0"/>
    <w:rsid w:val="003C29B4"/>
    <w:rsid w:val="003D1649"/>
    <w:rsid w:val="003E5B94"/>
    <w:rsid w:val="003F23C9"/>
    <w:rsid w:val="003F617F"/>
    <w:rsid w:val="00415584"/>
    <w:rsid w:val="00422A1E"/>
    <w:rsid w:val="00422D18"/>
    <w:rsid w:val="00432C5D"/>
    <w:rsid w:val="00461345"/>
    <w:rsid w:val="0046643D"/>
    <w:rsid w:val="00476138"/>
    <w:rsid w:val="0048697F"/>
    <w:rsid w:val="0049128E"/>
    <w:rsid w:val="0049703E"/>
    <w:rsid w:val="00497DE0"/>
    <w:rsid w:val="004A1B19"/>
    <w:rsid w:val="004A6418"/>
    <w:rsid w:val="004B5074"/>
    <w:rsid w:val="004C177F"/>
    <w:rsid w:val="004C63A1"/>
    <w:rsid w:val="004C6D77"/>
    <w:rsid w:val="004D3B63"/>
    <w:rsid w:val="004E1F07"/>
    <w:rsid w:val="004E33D2"/>
    <w:rsid w:val="004F4C69"/>
    <w:rsid w:val="004F591E"/>
    <w:rsid w:val="004F5EC2"/>
    <w:rsid w:val="0051125E"/>
    <w:rsid w:val="00522A52"/>
    <w:rsid w:val="00524899"/>
    <w:rsid w:val="005254D9"/>
    <w:rsid w:val="00542539"/>
    <w:rsid w:val="00543D81"/>
    <w:rsid w:val="0054653A"/>
    <w:rsid w:val="005550E0"/>
    <w:rsid w:val="0057087B"/>
    <w:rsid w:val="0059650D"/>
    <w:rsid w:val="005A4636"/>
    <w:rsid w:val="005B3703"/>
    <w:rsid w:val="005C2D2D"/>
    <w:rsid w:val="005D48D7"/>
    <w:rsid w:val="005E29C5"/>
    <w:rsid w:val="005E3D9D"/>
    <w:rsid w:val="005E6574"/>
    <w:rsid w:val="005F74C7"/>
    <w:rsid w:val="00605359"/>
    <w:rsid w:val="00606533"/>
    <w:rsid w:val="00607D75"/>
    <w:rsid w:val="006140FC"/>
    <w:rsid w:val="0061551C"/>
    <w:rsid w:val="006213C7"/>
    <w:rsid w:val="00624987"/>
    <w:rsid w:val="00625EAD"/>
    <w:rsid w:val="00635775"/>
    <w:rsid w:val="00647341"/>
    <w:rsid w:val="00657873"/>
    <w:rsid w:val="0066205C"/>
    <w:rsid w:val="006623B5"/>
    <w:rsid w:val="00675A0F"/>
    <w:rsid w:val="00681E28"/>
    <w:rsid w:val="0069067D"/>
    <w:rsid w:val="006B232E"/>
    <w:rsid w:val="006C1FF6"/>
    <w:rsid w:val="006D78BC"/>
    <w:rsid w:val="006E1093"/>
    <w:rsid w:val="006E1CF0"/>
    <w:rsid w:val="006E4FDB"/>
    <w:rsid w:val="00711BE7"/>
    <w:rsid w:val="00715B0D"/>
    <w:rsid w:val="007248FE"/>
    <w:rsid w:val="00737953"/>
    <w:rsid w:val="007411DE"/>
    <w:rsid w:val="00746B88"/>
    <w:rsid w:val="00751A35"/>
    <w:rsid w:val="0076311B"/>
    <w:rsid w:val="007716FC"/>
    <w:rsid w:val="007879FE"/>
    <w:rsid w:val="00790E7D"/>
    <w:rsid w:val="0079743C"/>
    <w:rsid w:val="00797C22"/>
    <w:rsid w:val="007A3DEA"/>
    <w:rsid w:val="007A42F8"/>
    <w:rsid w:val="007A445A"/>
    <w:rsid w:val="007C7F50"/>
    <w:rsid w:val="007D7C7A"/>
    <w:rsid w:val="007E22DB"/>
    <w:rsid w:val="007E7C70"/>
    <w:rsid w:val="007F2FDD"/>
    <w:rsid w:val="008158F4"/>
    <w:rsid w:val="0081772F"/>
    <w:rsid w:val="00822EB6"/>
    <w:rsid w:val="00861C8A"/>
    <w:rsid w:val="008631A5"/>
    <w:rsid w:val="008641C5"/>
    <w:rsid w:val="00864795"/>
    <w:rsid w:val="008666ED"/>
    <w:rsid w:val="00867413"/>
    <w:rsid w:val="008716F7"/>
    <w:rsid w:val="00872D3E"/>
    <w:rsid w:val="00874687"/>
    <w:rsid w:val="00877454"/>
    <w:rsid w:val="008957E5"/>
    <w:rsid w:val="00896435"/>
    <w:rsid w:val="008A0D4B"/>
    <w:rsid w:val="008B7ADD"/>
    <w:rsid w:val="008D5096"/>
    <w:rsid w:val="008F4686"/>
    <w:rsid w:val="00907D17"/>
    <w:rsid w:val="00914D43"/>
    <w:rsid w:val="00921250"/>
    <w:rsid w:val="00930031"/>
    <w:rsid w:val="00937BD0"/>
    <w:rsid w:val="00941896"/>
    <w:rsid w:val="00944F75"/>
    <w:rsid w:val="00945465"/>
    <w:rsid w:val="0095532A"/>
    <w:rsid w:val="00960667"/>
    <w:rsid w:val="009B33A8"/>
    <w:rsid w:val="009C07CC"/>
    <w:rsid w:val="009C4805"/>
    <w:rsid w:val="009D0815"/>
    <w:rsid w:val="009E634F"/>
    <w:rsid w:val="009F10BE"/>
    <w:rsid w:val="00A10D4A"/>
    <w:rsid w:val="00A13FC9"/>
    <w:rsid w:val="00A145D4"/>
    <w:rsid w:val="00A152ED"/>
    <w:rsid w:val="00A36D3E"/>
    <w:rsid w:val="00A412E2"/>
    <w:rsid w:val="00A4156C"/>
    <w:rsid w:val="00A439AC"/>
    <w:rsid w:val="00A722DE"/>
    <w:rsid w:val="00A92FF8"/>
    <w:rsid w:val="00A96DDB"/>
    <w:rsid w:val="00AA4631"/>
    <w:rsid w:val="00AB04EE"/>
    <w:rsid w:val="00AB133B"/>
    <w:rsid w:val="00AC2B2C"/>
    <w:rsid w:val="00AD3080"/>
    <w:rsid w:val="00AF34C2"/>
    <w:rsid w:val="00B00978"/>
    <w:rsid w:val="00B01245"/>
    <w:rsid w:val="00B02615"/>
    <w:rsid w:val="00B06CA0"/>
    <w:rsid w:val="00B150EB"/>
    <w:rsid w:val="00B26243"/>
    <w:rsid w:val="00B32CED"/>
    <w:rsid w:val="00B35CAF"/>
    <w:rsid w:val="00B36BF8"/>
    <w:rsid w:val="00B36D36"/>
    <w:rsid w:val="00B63BC5"/>
    <w:rsid w:val="00B72D25"/>
    <w:rsid w:val="00B738D4"/>
    <w:rsid w:val="00B73C7C"/>
    <w:rsid w:val="00B869EE"/>
    <w:rsid w:val="00BA0D63"/>
    <w:rsid w:val="00BE1F9E"/>
    <w:rsid w:val="00BE34D5"/>
    <w:rsid w:val="00BE5446"/>
    <w:rsid w:val="00BF0B92"/>
    <w:rsid w:val="00BF2039"/>
    <w:rsid w:val="00BF3DE1"/>
    <w:rsid w:val="00BF522D"/>
    <w:rsid w:val="00C01C1B"/>
    <w:rsid w:val="00C0470B"/>
    <w:rsid w:val="00C11FD3"/>
    <w:rsid w:val="00C17480"/>
    <w:rsid w:val="00C20A50"/>
    <w:rsid w:val="00C25BA7"/>
    <w:rsid w:val="00C31F6E"/>
    <w:rsid w:val="00C41DF8"/>
    <w:rsid w:val="00C43048"/>
    <w:rsid w:val="00C45739"/>
    <w:rsid w:val="00C47920"/>
    <w:rsid w:val="00C50408"/>
    <w:rsid w:val="00C50C0F"/>
    <w:rsid w:val="00C649D4"/>
    <w:rsid w:val="00C65271"/>
    <w:rsid w:val="00C76398"/>
    <w:rsid w:val="00C87F28"/>
    <w:rsid w:val="00C968EA"/>
    <w:rsid w:val="00C9740D"/>
    <w:rsid w:val="00CA1158"/>
    <w:rsid w:val="00CD7CE3"/>
    <w:rsid w:val="00CE2012"/>
    <w:rsid w:val="00CE7299"/>
    <w:rsid w:val="00CF236A"/>
    <w:rsid w:val="00D018B7"/>
    <w:rsid w:val="00D01E8E"/>
    <w:rsid w:val="00D04F69"/>
    <w:rsid w:val="00D169AC"/>
    <w:rsid w:val="00D16CE4"/>
    <w:rsid w:val="00D27A6B"/>
    <w:rsid w:val="00D27B27"/>
    <w:rsid w:val="00D30311"/>
    <w:rsid w:val="00D3371E"/>
    <w:rsid w:val="00D36D82"/>
    <w:rsid w:val="00D50463"/>
    <w:rsid w:val="00D83B43"/>
    <w:rsid w:val="00DA5018"/>
    <w:rsid w:val="00DB1101"/>
    <w:rsid w:val="00DB4A8B"/>
    <w:rsid w:val="00DB7721"/>
    <w:rsid w:val="00DE25C9"/>
    <w:rsid w:val="00DE41A6"/>
    <w:rsid w:val="00DF1448"/>
    <w:rsid w:val="00DF5446"/>
    <w:rsid w:val="00E027B7"/>
    <w:rsid w:val="00E04F8E"/>
    <w:rsid w:val="00E06D65"/>
    <w:rsid w:val="00E237E2"/>
    <w:rsid w:val="00E37955"/>
    <w:rsid w:val="00E55713"/>
    <w:rsid w:val="00E61D52"/>
    <w:rsid w:val="00E657EB"/>
    <w:rsid w:val="00E74203"/>
    <w:rsid w:val="00E745E7"/>
    <w:rsid w:val="00E7644B"/>
    <w:rsid w:val="00E77A46"/>
    <w:rsid w:val="00E849BC"/>
    <w:rsid w:val="00E87F61"/>
    <w:rsid w:val="00EA5367"/>
    <w:rsid w:val="00EB60C8"/>
    <w:rsid w:val="00EC0276"/>
    <w:rsid w:val="00EE30A0"/>
    <w:rsid w:val="00EF026F"/>
    <w:rsid w:val="00EF1699"/>
    <w:rsid w:val="00F037E7"/>
    <w:rsid w:val="00F05651"/>
    <w:rsid w:val="00F25CE9"/>
    <w:rsid w:val="00F302BA"/>
    <w:rsid w:val="00F34084"/>
    <w:rsid w:val="00F35390"/>
    <w:rsid w:val="00F35D49"/>
    <w:rsid w:val="00F45290"/>
    <w:rsid w:val="00F74E6E"/>
    <w:rsid w:val="00F84D2B"/>
    <w:rsid w:val="00FC1590"/>
    <w:rsid w:val="00FC6D7C"/>
    <w:rsid w:val="00FD27F2"/>
    <w:rsid w:val="00FF2883"/>
    <w:rsid w:val="00FF556C"/>
    <w:rsid w:val="0E50753F"/>
    <w:rsid w:val="1BF9ED96"/>
    <w:rsid w:val="2261501F"/>
    <w:rsid w:val="53DF8947"/>
    <w:rsid w:val="55632A11"/>
    <w:rsid w:val="7AB66B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F67E"/>
  <w15:chartTrackingRefBased/>
  <w15:docId w15:val="{55A15283-5B99-D344-8492-D103FE98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20"/>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C47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920"/>
    <w:rPr>
      <w:rFonts w:eastAsiaTheme="majorEastAsia" w:cstheme="majorBidi"/>
      <w:color w:val="272727" w:themeColor="text1" w:themeTint="D8"/>
    </w:rPr>
  </w:style>
  <w:style w:type="paragraph" w:styleId="Title">
    <w:name w:val="Title"/>
    <w:basedOn w:val="Normal"/>
    <w:next w:val="Normal"/>
    <w:link w:val="TitleChar"/>
    <w:uiPriority w:val="10"/>
    <w:qFormat/>
    <w:rsid w:val="00C47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920"/>
    <w:pPr>
      <w:spacing w:before="160"/>
      <w:jc w:val="center"/>
    </w:pPr>
    <w:rPr>
      <w:i/>
      <w:iCs/>
      <w:color w:val="404040" w:themeColor="text1" w:themeTint="BF"/>
    </w:rPr>
  </w:style>
  <w:style w:type="character" w:customStyle="1" w:styleId="QuoteChar">
    <w:name w:val="Quote Char"/>
    <w:basedOn w:val="DefaultParagraphFont"/>
    <w:link w:val="Quote"/>
    <w:uiPriority w:val="29"/>
    <w:rsid w:val="00C47920"/>
    <w:rPr>
      <w:i/>
      <w:iCs/>
      <w:color w:val="404040" w:themeColor="text1" w:themeTint="BF"/>
    </w:rPr>
  </w:style>
  <w:style w:type="paragraph" w:styleId="ListParagraph">
    <w:name w:val="List Paragraph"/>
    <w:basedOn w:val="Normal"/>
    <w:uiPriority w:val="34"/>
    <w:qFormat/>
    <w:rsid w:val="00C47920"/>
    <w:pPr>
      <w:ind w:left="720"/>
      <w:contextualSpacing/>
    </w:pPr>
  </w:style>
  <w:style w:type="character" w:styleId="IntenseEmphasis">
    <w:name w:val="Intense Emphasis"/>
    <w:basedOn w:val="DefaultParagraphFont"/>
    <w:uiPriority w:val="21"/>
    <w:qFormat/>
    <w:rsid w:val="00C47920"/>
    <w:rPr>
      <w:i/>
      <w:iCs/>
      <w:color w:val="0F4761" w:themeColor="accent1" w:themeShade="BF"/>
    </w:rPr>
  </w:style>
  <w:style w:type="paragraph" w:styleId="IntenseQuote">
    <w:name w:val="Intense Quote"/>
    <w:basedOn w:val="Normal"/>
    <w:next w:val="Normal"/>
    <w:link w:val="IntenseQuoteChar"/>
    <w:uiPriority w:val="30"/>
    <w:qFormat/>
    <w:rsid w:val="00C47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920"/>
    <w:rPr>
      <w:i/>
      <w:iCs/>
      <w:color w:val="0F4761" w:themeColor="accent1" w:themeShade="BF"/>
    </w:rPr>
  </w:style>
  <w:style w:type="character" w:styleId="IntenseReference">
    <w:name w:val="Intense Reference"/>
    <w:basedOn w:val="DefaultParagraphFont"/>
    <w:uiPriority w:val="32"/>
    <w:qFormat/>
    <w:rsid w:val="00C47920"/>
    <w:rPr>
      <w:b/>
      <w:bCs/>
      <w:smallCaps/>
      <w:color w:val="0F4761" w:themeColor="accent1" w:themeShade="BF"/>
      <w:spacing w:val="5"/>
    </w:rPr>
  </w:style>
  <w:style w:type="paragraph" w:styleId="Header">
    <w:name w:val="header"/>
    <w:basedOn w:val="Normal"/>
    <w:link w:val="HeaderChar"/>
    <w:uiPriority w:val="99"/>
    <w:unhideWhenUsed/>
    <w:rsid w:val="006C1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FF6"/>
    <w:rPr>
      <w:rFonts w:eastAsiaTheme="minorHAnsi"/>
      <w:kern w:val="0"/>
      <w:sz w:val="22"/>
      <w:szCs w:val="22"/>
      <w:lang w:eastAsia="en-US"/>
      <w14:ligatures w14:val="none"/>
    </w:rPr>
  </w:style>
  <w:style w:type="paragraph" w:styleId="Footer">
    <w:name w:val="footer"/>
    <w:basedOn w:val="Normal"/>
    <w:link w:val="FooterChar"/>
    <w:uiPriority w:val="99"/>
    <w:unhideWhenUsed/>
    <w:rsid w:val="006C1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FF6"/>
    <w:rPr>
      <w:rFonts w:eastAsiaTheme="minorHAnsi"/>
      <w:kern w:val="0"/>
      <w:sz w:val="22"/>
      <w:szCs w:val="22"/>
      <w:lang w:eastAsia="en-US"/>
      <w14:ligatures w14:val="none"/>
    </w:rPr>
  </w:style>
  <w:style w:type="character" w:styleId="PageNumber">
    <w:name w:val="page number"/>
    <w:basedOn w:val="DefaultParagraphFont"/>
    <w:uiPriority w:val="99"/>
    <w:semiHidden/>
    <w:unhideWhenUsed/>
    <w:rsid w:val="006C1FF6"/>
  </w:style>
  <w:style w:type="paragraph" w:styleId="Revision">
    <w:name w:val="Revision"/>
    <w:hidden/>
    <w:uiPriority w:val="99"/>
    <w:semiHidden/>
    <w:rsid w:val="00D36D82"/>
    <w:pPr>
      <w:spacing w:after="0" w:line="240" w:lineRule="auto"/>
    </w:pPr>
    <w:rPr>
      <w:rFonts w:eastAsiaTheme="minorHAnsi"/>
      <w:kern w:val="0"/>
      <w:sz w:val="22"/>
      <w:szCs w:val="22"/>
      <w:lang w:eastAsia="en-US"/>
      <w14:ligatures w14:val="none"/>
    </w:rPr>
  </w:style>
  <w:style w:type="character" w:styleId="Hyperlink">
    <w:name w:val="Hyperlink"/>
    <w:basedOn w:val="DefaultParagraphFont"/>
    <w:uiPriority w:val="99"/>
    <w:unhideWhenUsed/>
    <w:rsid w:val="0E50753F"/>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HAnsi"/>
      <w:kern w:val="0"/>
      <w:sz w:val="20"/>
      <w:szCs w:val="20"/>
      <w:lang w:eastAsia="en-US"/>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2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files/drugs/published/Portable-Document-Format-Specification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316f8801fdf7ad318f96d2ddf1ad8fec">
  <xsd:schema xmlns:xsd="http://www.w3.org/2001/XMLSchema" xmlns:xs="http://www.w3.org/2001/XMLSchema" xmlns:p="http://schemas.microsoft.com/office/2006/metadata/properties" xmlns:ns2="26675fd5-4a21-4f69-8840-09a50681c698" targetNamespace="http://schemas.microsoft.com/office/2006/metadata/properties" ma:root="true" ma:fieldsID="b9c35720d82e80fe78f75de4d79b72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CB9722-531E-4D36-9815-47E158BE4845}">
  <ds:schemaRefs>
    <ds:schemaRef ds:uri="http://schemas.microsoft.com/sharepoint/v3/contenttype/forms"/>
  </ds:schemaRefs>
</ds:datastoreItem>
</file>

<file path=customXml/itemProps2.xml><?xml version="1.0" encoding="utf-8"?>
<ds:datastoreItem xmlns:ds="http://schemas.openxmlformats.org/officeDocument/2006/customXml" ds:itemID="{06FFF534-2111-430B-8851-2A5AAAC6C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3DE6F-C730-4F72-9DD7-BAF8BB461DB4}">
  <ds:schemaRefs>
    <ds:schemaRef ds:uri="http://schemas.openxmlformats.org/officeDocument/2006/bibliography"/>
  </ds:schemaRefs>
</ds:datastoreItem>
</file>

<file path=customXml/itemProps4.xml><?xml version="1.0" encoding="utf-8"?>
<ds:datastoreItem xmlns:ds="http://schemas.openxmlformats.org/officeDocument/2006/customXml" ds:itemID="{A3F21057-22CA-4C69-A67B-23EA78B91E81}">
  <ds:schemaRefs>
    <ds:schemaRef ds:uri="http://schemas.microsoft.com/office/2006/documentManagement/types"/>
    <ds:schemaRef ds:uri="http://purl.org/dc/elements/1.1/"/>
    <ds:schemaRef ds:uri="26675fd5-4a21-4f69-8840-09a50681c698"/>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20</cp:revision>
  <dcterms:created xsi:type="dcterms:W3CDTF">2025-06-24T19:03:00Z</dcterms:created>
  <dcterms:modified xsi:type="dcterms:W3CDTF">2025-12-03T19:40:00Z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