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AD727" w14:textId="60FE6A47" w:rsidR="00C47920" w:rsidRPr="0079760F" w:rsidRDefault="001A371D" w:rsidP="00245DB4">
      <w:pPr>
        <w:pStyle w:val="Heading1"/>
        <w:numPr>
          <w:ilvl w:val="2"/>
          <w:numId w:val="9"/>
        </w:numPr>
        <w:spacing w:before="160" w:line="278" w:lineRule="auto"/>
        <w:rPr>
          <w:rFonts w:ascii="Times New Roman" w:hAnsi="Times New Roman" w:cs="Times New Roman"/>
          <w:b/>
          <w:bCs/>
          <w:color w:val="auto"/>
          <w:sz w:val="28"/>
          <w:szCs w:val="28"/>
        </w:rPr>
      </w:pPr>
      <w:r w:rsidRPr="234B48DE">
        <w:rPr>
          <w:rFonts w:ascii="Times New Roman" w:hAnsi="Times New Roman" w:cs="Times New Roman"/>
          <w:b/>
          <w:bCs/>
          <w:color w:val="auto"/>
          <w:sz w:val="28"/>
          <w:szCs w:val="28"/>
        </w:rPr>
        <w:t xml:space="preserve">SUMMARY OF </w:t>
      </w:r>
      <w:r w:rsidR="0049128E" w:rsidRPr="234B48DE">
        <w:rPr>
          <w:rFonts w:ascii="Times New Roman" w:hAnsi="Times New Roman" w:cs="Times New Roman"/>
          <w:b/>
          <w:bCs/>
          <w:color w:val="auto"/>
          <w:sz w:val="28"/>
          <w:szCs w:val="28"/>
        </w:rPr>
        <w:t xml:space="preserve">CLINICAL </w:t>
      </w:r>
      <w:r w:rsidR="007B0E05" w:rsidRPr="234B48DE">
        <w:rPr>
          <w:rFonts w:ascii="Times New Roman" w:hAnsi="Times New Roman" w:cs="Times New Roman"/>
          <w:b/>
          <w:bCs/>
          <w:color w:val="auto"/>
          <w:sz w:val="28"/>
          <w:szCs w:val="28"/>
        </w:rPr>
        <w:t>SAFETY</w:t>
      </w:r>
    </w:p>
    <w:p w14:paraId="4D444AA5" w14:textId="1A8D5CFF" w:rsidR="56E1D1F1" w:rsidRDefault="56E1D1F1" w:rsidP="234B48DE">
      <w:pPr>
        <w:rPr>
          <w:rFonts w:ascii="Aptos" w:eastAsia="Aptos" w:hAnsi="Aptos" w:cs="Aptos"/>
        </w:rPr>
      </w:pPr>
      <w:r w:rsidRPr="234B48DE">
        <w:rPr>
          <w:rFonts w:ascii="Times New Roman" w:eastAsia="Times New Roman" w:hAnsi="Times New Roman" w:cs="Times New Roman"/>
          <w:i/>
          <w:iCs/>
          <w:color w:val="000000" w:themeColor="text1"/>
          <w:sz w:val="24"/>
          <w:szCs w:val="24"/>
          <w:highlight w:val="yellow"/>
        </w:rPr>
        <w:t>Delete this explanatory text prior to submission.</w:t>
      </w:r>
      <w:r w:rsidRPr="234B48DE">
        <w:rPr>
          <w:rFonts w:ascii="Times New Roman" w:eastAsia="Times New Roman" w:hAnsi="Times New Roman" w:cs="Times New Roman"/>
          <w:i/>
          <w:iCs/>
          <w:color w:val="000000" w:themeColor="text1"/>
          <w:sz w:val="24"/>
          <w:szCs w:val="24"/>
          <w:highlight w:val="yellow"/>
          <w:lang w:val="en-GB"/>
        </w:rPr>
        <w:t xml:space="preserve"> When edits are complete, convert this document to a PDF, following the guidelines available in </w:t>
      </w:r>
      <w:hyperlink r:id="rId10">
        <w:r w:rsidRPr="234B48DE">
          <w:rPr>
            <w:rStyle w:val="Hyperlink"/>
            <w:rFonts w:ascii="Times New Roman" w:eastAsia="Times New Roman" w:hAnsi="Times New Roman" w:cs="Times New Roman"/>
            <w:i/>
            <w:iCs/>
            <w:sz w:val="24"/>
            <w:szCs w:val="24"/>
            <w:highlight w:val="yellow"/>
            <w:lang w:val="en-GB"/>
          </w:rPr>
          <w:t>PDF Specifications</w:t>
        </w:r>
      </w:hyperlink>
      <w:r w:rsidRPr="234B48DE">
        <w:rPr>
          <w:rFonts w:ascii="Times New Roman" w:eastAsia="Times New Roman" w:hAnsi="Times New Roman" w:cs="Times New Roman"/>
          <w:i/>
          <w:iCs/>
          <w:color w:val="000000" w:themeColor="text1"/>
          <w:sz w:val="24"/>
          <w:szCs w:val="24"/>
          <w:highlight w:val="yellow"/>
          <w:lang w:val="en-GB"/>
        </w:rPr>
        <w:t xml:space="preserve"> (published September 2016).</w:t>
      </w:r>
      <w:bookmarkStart w:id="0" w:name="_Toc131393901"/>
      <w:bookmarkStart w:id="1" w:name="_Toc133233868"/>
      <w:bookmarkStart w:id="2" w:name="_Toc139015977"/>
    </w:p>
    <w:p w14:paraId="3C0BD049" w14:textId="77777777" w:rsidR="00525855" w:rsidRPr="00537413" w:rsidRDefault="00525855" w:rsidP="00525855">
      <w:pPr>
        <w:rPr>
          <w:rFonts w:ascii="Times New Roman" w:hAnsi="Times New Roman" w:cs="Times New Roman"/>
          <w:i/>
          <w:iCs/>
          <w:sz w:val="24"/>
          <w:szCs w:val="24"/>
          <w:highlight w:val="yellow"/>
        </w:rPr>
      </w:pPr>
      <w:r w:rsidRPr="00537413">
        <w:rPr>
          <w:rFonts w:ascii="Times New Roman" w:hAnsi="Times New Roman" w:cs="Times New Roman"/>
          <w:i/>
          <w:iCs/>
          <w:sz w:val="24"/>
          <w:szCs w:val="24"/>
          <w:highlight w:val="yellow"/>
        </w:rPr>
        <w:t>These written summaries should be composed mainly of text, but inclusion of tables and figures within the text body to more effectively convey certain information is acceptable.</w:t>
      </w:r>
      <w:r>
        <w:rPr>
          <w:rFonts w:ascii="Times New Roman" w:hAnsi="Times New Roman" w:cs="Times New Roman"/>
          <w:i/>
          <w:iCs/>
          <w:sz w:val="24"/>
          <w:szCs w:val="24"/>
          <w:highlight w:val="yellow"/>
        </w:rPr>
        <w:t xml:space="preserve"> Clinical Summaries should provide a detailed, factual, and structured summary of the clinical data and should refrain from providing interpretations and conclusions. </w:t>
      </w:r>
    </w:p>
    <w:p w14:paraId="43C0D120" w14:textId="0CB69FC7" w:rsidR="00856E0E" w:rsidRPr="004A335B" w:rsidRDefault="006C1FF6" w:rsidP="004A335B">
      <w:pPr>
        <w:rPr>
          <w:rFonts w:ascii="Times New Roman" w:hAnsi="Times New Roman" w:cs="Times New Roman"/>
          <w:i/>
          <w:iCs/>
          <w:sz w:val="24"/>
          <w:szCs w:val="24"/>
        </w:rPr>
      </w:pPr>
      <w:r w:rsidRPr="004A335B">
        <w:rPr>
          <w:rFonts w:ascii="Times New Roman" w:hAnsi="Times New Roman" w:cs="Times New Roman"/>
          <w:i/>
          <w:iCs/>
          <w:sz w:val="24"/>
          <w:szCs w:val="24"/>
          <w:highlight w:val="yellow"/>
        </w:rPr>
        <w:t>Consider inserting a table of contents to aid the FDA reviewer in the organization of this document, as well as tables of abbreviations used, and a table of tables and figures.</w:t>
      </w:r>
      <w:r w:rsidR="001A371D" w:rsidRPr="004A335B">
        <w:rPr>
          <w:rFonts w:ascii="Times New Roman" w:hAnsi="Times New Roman" w:cs="Times New Roman"/>
          <w:i/>
          <w:iCs/>
          <w:sz w:val="24"/>
          <w:szCs w:val="24"/>
          <w:highlight w:val="yellow"/>
        </w:rPr>
        <w:t xml:space="preserve"> </w:t>
      </w:r>
      <w:r w:rsidRPr="004A335B">
        <w:rPr>
          <w:rFonts w:ascii="Times New Roman" w:hAnsi="Times New Roman" w:cs="Times New Roman"/>
          <w:i/>
          <w:iCs/>
          <w:sz w:val="24"/>
          <w:szCs w:val="24"/>
          <w:highlight w:val="yellow"/>
        </w:rPr>
        <w:t>Delete any sections below that do not apply to your product (i.e. don’t include empty sections).</w:t>
      </w:r>
    </w:p>
    <w:p w14:paraId="06D807DB" w14:textId="1E810D8F" w:rsidR="00245DB4" w:rsidRPr="00501893" w:rsidRDefault="008231B1" w:rsidP="004A335B">
      <w:pPr>
        <w:rPr>
          <w:rFonts w:ascii="Times New Roman" w:hAnsi="Times New Roman" w:cs="Times New Roman"/>
          <w:i/>
          <w:iCs/>
          <w:sz w:val="24"/>
          <w:szCs w:val="24"/>
        </w:rPr>
      </w:pPr>
      <w:r w:rsidRPr="004A335B">
        <w:rPr>
          <w:rFonts w:ascii="Times New Roman" w:hAnsi="Times New Roman" w:cs="Times New Roman"/>
          <w:i/>
          <w:iCs/>
          <w:sz w:val="24"/>
          <w:szCs w:val="24"/>
          <w:highlight w:val="yellow"/>
        </w:rPr>
        <w:t xml:space="preserve">This section </w:t>
      </w:r>
      <w:r w:rsidR="0017219D" w:rsidRPr="004A335B">
        <w:rPr>
          <w:rFonts w:ascii="Times New Roman" w:hAnsi="Times New Roman" w:cs="Times New Roman"/>
          <w:i/>
          <w:iCs/>
          <w:sz w:val="24"/>
          <w:szCs w:val="24"/>
          <w:highlight w:val="yellow"/>
        </w:rPr>
        <w:t>should be a summary of data relevant to safety (</w:t>
      </w:r>
      <w:r w:rsidR="00441F98" w:rsidRPr="004A335B">
        <w:rPr>
          <w:rFonts w:ascii="Times New Roman" w:hAnsi="Times New Roman" w:cs="Times New Roman"/>
          <w:i/>
          <w:iCs/>
          <w:sz w:val="24"/>
          <w:szCs w:val="24"/>
          <w:highlight w:val="yellow"/>
        </w:rPr>
        <w:t xml:space="preserve">from individual study reports) </w:t>
      </w:r>
      <w:r w:rsidR="0017219D" w:rsidRPr="004A335B">
        <w:rPr>
          <w:rFonts w:ascii="Times New Roman" w:hAnsi="Times New Roman" w:cs="Times New Roman"/>
          <w:i/>
          <w:iCs/>
          <w:sz w:val="24"/>
          <w:szCs w:val="24"/>
          <w:highlight w:val="yellow"/>
        </w:rPr>
        <w:t>in the intended patient population</w:t>
      </w:r>
      <w:r w:rsidR="00441F98" w:rsidRPr="004A335B">
        <w:rPr>
          <w:rFonts w:ascii="Times New Roman" w:hAnsi="Times New Roman" w:cs="Times New Roman"/>
          <w:i/>
          <w:iCs/>
          <w:sz w:val="24"/>
          <w:szCs w:val="24"/>
          <w:highlight w:val="yellow"/>
        </w:rPr>
        <w:t>. Throughout this section, the safety profile of the drug should be outlined in a detailed, clear, and objective manner. Use of tables and figures is encouraged.</w:t>
      </w:r>
    </w:p>
    <w:bookmarkEnd w:id="0"/>
    <w:bookmarkEnd w:id="1"/>
    <w:bookmarkEnd w:id="2"/>
    <w:p w14:paraId="12DCE01E" w14:textId="67526859" w:rsidR="00C47920" w:rsidRPr="004A335B" w:rsidRDefault="00C628CD" w:rsidP="004A335B">
      <w:pPr>
        <w:pStyle w:val="Heading2"/>
      </w:pPr>
      <w:r w:rsidRPr="004A335B">
        <w:t>Exposure to the Drug</w:t>
      </w:r>
    </w:p>
    <w:p w14:paraId="3E8E966C" w14:textId="5C9C8BF7" w:rsidR="00C47920" w:rsidRPr="004A335B" w:rsidRDefault="00A57E32" w:rsidP="004A335B">
      <w:pPr>
        <w:pStyle w:val="Heading3"/>
      </w:pPr>
      <w:r w:rsidRPr="004A335B">
        <w:t>Overall Safety Evaluation Plan and Narratives of Safety Studies</w:t>
      </w:r>
    </w:p>
    <w:p w14:paraId="20903E34" w14:textId="04C3EB43" w:rsidR="00245DB4" w:rsidRPr="00441F98" w:rsidRDefault="00441F98" w:rsidP="00245DB4">
      <w:pPr>
        <w:spacing w:before="160" w:after="80" w:line="278" w:lineRule="auto"/>
        <w:rPr>
          <w:rFonts w:ascii="Times New Roman" w:hAnsi="Times New Roman" w:cs="Times New Roman"/>
          <w:i/>
          <w:iCs/>
          <w:sz w:val="24"/>
          <w:szCs w:val="24"/>
        </w:rPr>
      </w:pPr>
      <w:r w:rsidRPr="00501893">
        <w:rPr>
          <w:rFonts w:ascii="Times New Roman" w:hAnsi="Times New Roman" w:cs="Times New Roman"/>
          <w:i/>
          <w:iCs/>
          <w:sz w:val="24"/>
          <w:szCs w:val="24"/>
          <w:highlight w:val="yellow"/>
        </w:rPr>
        <w:t xml:space="preserve">Describe the overall safety evaluation plan, and include observations concerning the nonclinical </w:t>
      </w:r>
      <w:r w:rsidR="00717B25" w:rsidRPr="00501893">
        <w:rPr>
          <w:rFonts w:ascii="Times New Roman" w:hAnsi="Times New Roman" w:cs="Times New Roman"/>
          <w:i/>
          <w:iCs/>
          <w:sz w:val="24"/>
          <w:szCs w:val="24"/>
          <w:highlight w:val="yellow"/>
        </w:rPr>
        <w:t xml:space="preserve">data, any relevant pharmacological class effects, and the source of the safety data. </w:t>
      </w:r>
      <w:r w:rsidR="00715EC7" w:rsidRPr="00501893">
        <w:rPr>
          <w:rFonts w:ascii="Times New Roman" w:hAnsi="Times New Roman" w:cs="Times New Roman"/>
          <w:i/>
          <w:iCs/>
          <w:sz w:val="24"/>
          <w:szCs w:val="24"/>
          <w:highlight w:val="yellow"/>
        </w:rPr>
        <w:t>In the appendix, a table of all clinical studies that provided safety data should be provided.</w:t>
      </w:r>
      <w:r w:rsidR="003E000D" w:rsidRPr="00501893">
        <w:rPr>
          <w:rFonts w:ascii="Times New Roman" w:hAnsi="Times New Roman" w:cs="Times New Roman"/>
          <w:i/>
          <w:iCs/>
          <w:sz w:val="24"/>
          <w:szCs w:val="24"/>
          <w:highlight w:val="yellow"/>
        </w:rPr>
        <w:t xml:space="preserve"> Narrative descriptions of the studies</w:t>
      </w:r>
      <w:r w:rsidR="00D50B2D" w:rsidRPr="00501893">
        <w:rPr>
          <w:rFonts w:ascii="Times New Roman" w:hAnsi="Times New Roman" w:cs="Times New Roman"/>
          <w:i/>
          <w:iCs/>
          <w:sz w:val="24"/>
          <w:szCs w:val="24"/>
          <w:highlight w:val="yellow"/>
        </w:rPr>
        <w:t xml:space="preserve"> that contributed safety data ONLY </w:t>
      </w:r>
      <w:r w:rsidR="003E000D" w:rsidRPr="00501893">
        <w:rPr>
          <w:rFonts w:ascii="Times New Roman" w:hAnsi="Times New Roman" w:cs="Times New Roman"/>
          <w:i/>
          <w:iCs/>
          <w:sz w:val="24"/>
          <w:szCs w:val="24"/>
          <w:highlight w:val="yellow"/>
        </w:rPr>
        <w:t xml:space="preserve">should be </w:t>
      </w:r>
      <w:r w:rsidR="00D50B2D" w:rsidRPr="00501893">
        <w:rPr>
          <w:rFonts w:ascii="Times New Roman" w:hAnsi="Times New Roman" w:cs="Times New Roman"/>
          <w:i/>
          <w:iCs/>
          <w:sz w:val="24"/>
          <w:szCs w:val="24"/>
          <w:highlight w:val="yellow"/>
        </w:rPr>
        <w:t xml:space="preserve">provided here. Studies that provided safety and efficacy data should be </w:t>
      </w:r>
      <w:r w:rsidR="009900B9" w:rsidRPr="00501893">
        <w:rPr>
          <w:rFonts w:ascii="Times New Roman" w:hAnsi="Times New Roman" w:cs="Times New Roman"/>
          <w:i/>
          <w:iCs/>
          <w:sz w:val="24"/>
          <w:szCs w:val="24"/>
          <w:highlight w:val="yellow"/>
        </w:rPr>
        <w:t>included in section 2.7.3.2 and cross-referenced here.</w:t>
      </w:r>
      <w:r w:rsidR="00604AE9" w:rsidRPr="00501893">
        <w:rPr>
          <w:rFonts w:ascii="Times New Roman" w:hAnsi="Times New Roman" w:cs="Times New Roman"/>
          <w:i/>
          <w:iCs/>
          <w:sz w:val="24"/>
          <w:szCs w:val="24"/>
          <w:highlight w:val="yellow"/>
        </w:rPr>
        <w:t xml:space="preserve"> These narratives should </w:t>
      </w:r>
      <w:r w:rsidR="009061FA" w:rsidRPr="00501893">
        <w:rPr>
          <w:rFonts w:ascii="Times New Roman" w:hAnsi="Times New Roman" w:cs="Times New Roman"/>
          <w:i/>
          <w:iCs/>
          <w:sz w:val="24"/>
          <w:szCs w:val="24"/>
          <w:highlight w:val="yellow"/>
        </w:rPr>
        <w:t>allow</w:t>
      </w:r>
      <w:r w:rsidR="00604AE9" w:rsidRPr="00501893">
        <w:rPr>
          <w:rFonts w:ascii="Times New Roman" w:hAnsi="Times New Roman" w:cs="Times New Roman"/>
          <w:i/>
          <w:iCs/>
          <w:sz w:val="24"/>
          <w:szCs w:val="24"/>
          <w:highlight w:val="yellow"/>
        </w:rPr>
        <w:t xml:space="preserve"> the reviewer </w:t>
      </w:r>
      <w:r w:rsidR="009061FA" w:rsidRPr="00501893">
        <w:rPr>
          <w:rFonts w:ascii="Times New Roman" w:hAnsi="Times New Roman" w:cs="Times New Roman"/>
          <w:i/>
          <w:iCs/>
          <w:sz w:val="24"/>
          <w:szCs w:val="24"/>
          <w:highlight w:val="yellow"/>
        </w:rPr>
        <w:t>to understand the exposure of the study subject</w:t>
      </w:r>
      <w:r w:rsidR="00501893" w:rsidRPr="00501893">
        <w:rPr>
          <w:rFonts w:ascii="Times New Roman" w:hAnsi="Times New Roman" w:cs="Times New Roman"/>
          <w:i/>
          <w:iCs/>
          <w:sz w:val="24"/>
          <w:szCs w:val="24"/>
          <w:highlight w:val="yellow"/>
        </w:rPr>
        <w:t>s and</w:t>
      </w:r>
      <w:r w:rsidR="009061FA" w:rsidRPr="00501893">
        <w:rPr>
          <w:rFonts w:ascii="Times New Roman" w:hAnsi="Times New Roman" w:cs="Times New Roman"/>
          <w:i/>
          <w:iCs/>
          <w:sz w:val="24"/>
          <w:szCs w:val="24"/>
          <w:highlight w:val="yellow"/>
        </w:rPr>
        <w:t xml:space="preserve"> how safety data were collected</w:t>
      </w:r>
      <w:r w:rsidR="00501893" w:rsidRPr="00501893">
        <w:rPr>
          <w:rFonts w:ascii="Times New Roman" w:hAnsi="Times New Roman" w:cs="Times New Roman"/>
          <w:i/>
          <w:iCs/>
          <w:sz w:val="24"/>
          <w:szCs w:val="24"/>
          <w:highlight w:val="yellow"/>
        </w:rPr>
        <w:t>.</w:t>
      </w:r>
      <w:r w:rsidR="009061FA">
        <w:rPr>
          <w:rFonts w:ascii="Times New Roman" w:hAnsi="Times New Roman" w:cs="Times New Roman"/>
          <w:i/>
          <w:iCs/>
          <w:sz w:val="24"/>
          <w:szCs w:val="24"/>
        </w:rPr>
        <w:t xml:space="preserve"> </w:t>
      </w:r>
    </w:p>
    <w:p w14:paraId="631FECFE" w14:textId="28675E11" w:rsidR="00A57E32" w:rsidRDefault="00A57E32" w:rsidP="004A335B">
      <w:pPr>
        <w:pStyle w:val="Heading3"/>
      </w:pPr>
      <w:r>
        <w:t>Overall Extent of Exposure</w:t>
      </w:r>
    </w:p>
    <w:p w14:paraId="18B51586" w14:textId="1DAE7AFC" w:rsidR="00245DB4" w:rsidRPr="00501893" w:rsidRDefault="00501893" w:rsidP="00245DB4">
      <w:pPr>
        <w:spacing w:before="160" w:after="80" w:line="278" w:lineRule="auto"/>
        <w:rPr>
          <w:rFonts w:ascii="Times New Roman" w:hAnsi="Times New Roman" w:cs="Times New Roman"/>
          <w:i/>
          <w:iCs/>
          <w:sz w:val="24"/>
          <w:szCs w:val="24"/>
        </w:rPr>
      </w:pPr>
      <w:r w:rsidRPr="7ED740FE">
        <w:rPr>
          <w:rFonts w:ascii="Times New Roman" w:hAnsi="Times New Roman" w:cs="Times New Roman"/>
          <w:i/>
          <w:iCs/>
          <w:sz w:val="24"/>
          <w:szCs w:val="24"/>
          <w:highlight w:val="yellow"/>
        </w:rPr>
        <w:t>A table should be added in this section</w:t>
      </w:r>
      <w:r w:rsidR="00B41F31" w:rsidRPr="7ED740FE">
        <w:rPr>
          <w:rFonts w:ascii="Times New Roman" w:hAnsi="Times New Roman" w:cs="Times New Roman"/>
          <w:i/>
          <w:iCs/>
          <w:sz w:val="24"/>
          <w:szCs w:val="24"/>
          <w:highlight w:val="yellow"/>
        </w:rPr>
        <w:t xml:space="preserve"> to indicate the numbers of subjects exposed, and include details on dose, route, and duration.</w:t>
      </w:r>
      <w:r w:rsidR="005F7042" w:rsidRPr="7ED740FE">
        <w:rPr>
          <w:rFonts w:ascii="Times New Roman" w:hAnsi="Times New Roman" w:cs="Times New Roman"/>
          <w:i/>
          <w:iCs/>
          <w:sz w:val="24"/>
          <w:szCs w:val="24"/>
          <w:highlight w:val="yellow"/>
        </w:rPr>
        <w:t xml:space="preserve"> This table should be accompanied by appropriate text summarizing the tab</w:t>
      </w:r>
      <w:r w:rsidR="005F7042" w:rsidRPr="002D1D5D">
        <w:rPr>
          <w:rFonts w:ascii="Times New Roman" w:hAnsi="Times New Roman" w:cs="Times New Roman"/>
          <w:i/>
          <w:iCs/>
          <w:sz w:val="24"/>
          <w:szCs w:val="24"/>
          <w:highlight w:val="yellow"/>
        </w:rPr>
        <w:t>le</w:t>
      </w:r>
      <w:r w:rsidR="004A335B" w:rsidRPr="002D1D5D">
        <w:rPr>
          <w:rFonts w:ascii="Times New Roman" w:hAnsi="Times New Roman" w:cs="Times New Roman"/>
          <w:i/>
          <w:iCs/>
          <w:sz w:val="24"/>
          <w:szCs w:val="24"/>
          <w:highlight w:val="yellow"/>
        </w:rPr>
        <w:t xml:space="preserve">. It is assumed that all subjects who were enrolled and received at least one dose of the treatment are included in the safety analysis; </w:t>
      </w:r>
      <w:r w:rsidR="002D1D5D" w:rsidRPr="002D1D5D">
        <w:rPr>
          <w:rFonts w:ascii="Times New Roman" w:hAnsi="Times New Roman" w:cs="Times New Roman"/>
          <w:i/>
          <w:iCs/>
          <w:sz w:val="24"/>
          <w:szCs w:val="24"/>
          <w:highlight w:val="yellow"/>
        </w:rPr>
        <w:t>it that is not so, an explanation should be provided.</w:t>
      </w:r>
    </w:p>
    <w:p w14:paraId="4F04C47D" w14:textId="0091BDD7" w:rsidR="00534B85" w:rsidRDefault="00534B85" w:rsidP="004A335B">
      <w:pPr>
        <w:pStyle w:val="Heading3"/>
      </w:pPr>
      <w:r>
        <w:t>Demographic and Other Characteristics of Study Population</w:t>
      </w:r>
    </w:p>
    <w:p w14:paraId="17C3F967" w14:textId="0D3D9C67" w:rsidR="00245DB4" w:rsidRPr="005F7042" w:rsidRDefault="00316D3E" w:rsidP="00245DB4">
      <w:pPr>
        <w:spacing w:before="160" w:after="80" w:line="278" w:lineRule="auto"/>
        <w:rPr>
          <w:rFonts w:ascii="Times New Roman" w:hAnsi="Times New Roman" w:cs="Times New Roman"/>
          <w:i/>
          <w:iCs/>
          <w:sz w:val="24"/>
          <w:szCs w:val="24"/>
        </w:rPr>
      </w:pPr>
      <w:r w:rsidRPr="00ED27AB">
        <w:rPr>
          <w:rFonts w:ascii="Times New Roman" w:hAnsi="Times New Roman" w:cs="Times New Roman"/>
          <w:i/>
          <w:iCs/>
          <w:sz w:val="24"/>
          <w:szCs w:val="24"/>
          <w:highlight w:val="yellow"/>
        </w:rPr>
        <w:t>A table should be added in this section to illustrate the demographic characteristics of the study population</w:t>
      </w:r>
      <w:r w:rsidR="00DC58DA" w:rsidRPr="00ED27AB">
        <w:rPr>
          <w:rFonts w:ascii="Times New Roman" w:hAnsi="Times New Roman" w:cs="Times New Roman"/>
          <w:i/>
          <w:iCs/>
          <w:sz w:val="24"/>
          <w:szCs w:val="24"/>
          <w:highlight w:val="yellow"/>
        </w:rPr>
        <w:t xml:space="preserve">. Consider including the following </w:t>
      </w:r>
      <w:r w:rsidR="00CC593C" w:rsidRPr="00ED27AB">
        <w:rPr>
          <w:rFonts w:ascii="Times New Roman" w:hAnsi="Times New Roman" w:cs="Times New Roman"/>
          <w:i/>
          <w:iCs/>
          <w:sz w:val="24"/>
          <w:szCs w:val="24"/>
          <w:highlight w:val="yellow"/>
        </w:rPr>
        <w:t xml:space="preserve">special characteristics </w:t>
      </w:r>
      <w:r w:rsidR="00DC58DA" w:rsidRPr="00ED27AB">
        <w:rPr>
          <w:rFonts w:ascii="Times New Roman" w:hAnsi="Times New Roman" w:cs="Times New Roman"/>
          <w:i/>
          <w:iCs/>
          <w:sz w:val="24"/>
          <w:szCs w:val="24"/>
          <w:highlight w:val="yellow"/>
        </w:rPr>
        <w:t xml:space="preserve">in the table: severity of disease, hospitalization, impaired renal function, concomitant illness, </w:t>
      </w:r>
      <w:r w:rsidR="001D554E" w:rsidRPr="00ED27AB">
        <w:rPr>
          <w:rFonts w:ascii="Times New Roman" w:hAnsi="Times New Roman" w:cs="Times New Roman"/>
          <w:i/>
          <w:iCs/>
          <w:sz w:val="24"/>
          <w:szCs w:val="24"/>
          <w:highlight w:val="yellow"/>
        </w:rPr>
        <w:t>concomitant</w:t>
      </w:r>
      <w:r w:rsidR="00DC58DA" w:rsidRPr="00ED27AB">
        <w:rPr>
          <w:rFonts w:ascii="Times New Roman" w:hAnsi="Times New Roman" w:cs="Times New Roman"/>
          <w:i/>
          <w:iCs/>
          <w:sz w:val="24"/>
          <w:szCs w:val="24"/>
          <w:highlight w:val="yellow"/>
        </w:rPr>
        <w:t xml:space="preserve"> use</w:t>
      </w:r>
      <w:r w:rsidR="00ED27AB">
        <w:rPr>
          <w:rFonts w:ascii="Times New Roman" w:hAnsi="Times New Roman" w:cs="Times New Roman"/>
          <w:i/>
          <w:iCs/>
          <w:sz w:val="24"/>
          <w:szCs w:val="24"/>
          <w:highlight w:val="yellow"/>
        </w:rPr>
        <w:t xml:space="preserve"> of </w:t>
      </w:r>
      <w:r w:rsidR="00ED27AB" w:rsidRPr="00ED27AB">
        <w:rPr>
          <w:rFonts w:ascii="Times New Roman" w:hAnsi="Times New Roman" w:cs="Times New Roman"/>
          <w:i/>
          <w:iCs/>
          <w:sz w:val="24"/>
          <w:szCs w:val="24"/>
          <w:highlight w:val="yellow"/>
        </w:rPr>
        <w:t>medications</w:t>
      </w:r>
      <w:r w:rsidR="00DC58DA" w:rsidRPr="00ED27AB">
        <w:rPr>
          <w:rFonts w:ascii="Times New Roman" w:hAnsi="Times New Roman" w:cs="Times New Roman"/>
          <w:i/>
          <w:iCs/>
          <w:sz w:val="24"/>
          <w:szCs w:val="24"/>
          <w:highlight w:val="yellow"/>
        </w:rPr>
        <w:t xml:space="preserve">. </w:t>
      </w:r>
      <w:r w:rsidR="004E3B0B" w:rsidRPr="00ED27AB">
        <w:rPr>
          <w:rFonts w:ascii="Times New Roman" w:hAnsi="Times New Roman" w:cs="Times New Roman"/>
          <w:i/>
          <w:iCs/>
          <w:sz w:val="24"/>
          <w:szCs w:val="24"/>
          <w:highlight w:val="yellow"/>
        </w:rPr>
        <w:t xml:space="preserve">Use the accompanying text to mention if there are any imbalances in the demographic characteristics between study groups, particularly if the imbalance could lead to </w:t>
      </w:r>
      <w:r w:rsidR="004E3B0B" w:rsidRPr="00ED27AB">
        <w:rPr>
          <w:rFonts w:ascii="Times New Roman" w:hAnsi="Times New Roman" w:cs="Times New Roman"/>
          <w:i/>
          <w:iCs/>
          <w:sz w:val="24"/>
          <w:szCs w:val="24"/>
          <w:highlight w:val="yellow"/>
        </w:rPr>
        <w:lastRenderedPageBreak/>
        <w:t xml:space="preserve">differences in safety outcomes. </w:t>
      </w:r>
      <w:r w:rsidR="005678B0" w:rsidRPr="00ED27AB">
        <w:rPr>
          <w:rFonts w:ascii="Times New Roman" w:hAnsi="Times New Roman" w:cs="Times New Roman"/>
          <w:i/>
          <w:iCs/>
          <w:sz w:val="24"/>
          <w:szCs w:val="24"/>
          <w:highlight w:val="yellow"/>
        </w:rPr>
        <w:t xml:space="preserve">If subjects were excluded from studies </w:t>
      </w:r>
      <w:r w:rsidR="00ED27AB" w:rsidRPr="00ED27AB">
        <w:rPr>
          <w:rFonts w:ascii="Times New Roman" w:hAnsi="Times New Roman" w:cs="Times New Roman"/>
          <w:i/>
          <w:iCs/>
          <w:sz w:val="24"/>
          <w:szCs w:val="24"/>
          <w:highlight w:val="yellow"/>
        </w:rPr>
        <w:t>based on</w:t>
      </w:r>
      <w:r w:rsidR="005678B0" w:rsidRPr="00ED27AB">
        <w:rPr>
          <w:rFonts w:ascii="Times New Roman" w:hAnsi="Times New Roman" w:cs="Times New Roman"/>
          <w:i/>
          <w:iCs/>
          <w:sz w:val="24"/>
          <w:szCs w:val="24"/>
          <w:highlight w:val="yellow"/>
        </w:rPr>
        <w:t xml:space="preserve"> one of these </w:t>
      </w:r>
      <w:r w:rsidR="00ED27AB" w:rsidRPr="00ED27AB">
        <w:rPr>
          <w:rFonts w:ascii="Times New Roman" w:hAnsi="Times New Roman" w:cs="Times New Roman"/>
          <w:i/>
          <w:iCs/>
          <w:sz w:val="24"/>
          <w:szCs w:val="24"/>
          <w:highlight w:val="yellow"/>
        </w:rPr>
        <w:t>characteristics,</w:t>
      </w:r>
      <w:r w:rsidR="005678B0" w:rsidRPr="00ED27AB">
        <w:rPr>
          <w:rFonts w:ascii="Times New Roman" w:hAnsi="Times New Roman" w:cs="Times New Roman"/>
          <w:i/>
          <w:iCs/>
          <w:sz w:val="24"/>
          <w:szCs w:val="24"/>
          <w:highlight w:val="yellow"/>
        </w:rPr>
        <w:t xml:space="preserve"> this fact should</w:t>
      </w:r>
      <w:r w:rsidR="00EF7852" w:rsidRPr="00ED27AB">
        <w:rPr>
          <w:rFonts w:ascii="Times New Roman" w:hAnsi="Times New Roman" w:cs="Times New Roman"/>
          <w:i/>
          <w:iCs/>
          <w:sz w:val="24"/>
          <w:szCs w:val="24"/>
          <w:highlight w:val="yellow"/>
        </w:rPr>
        <w:t xml:space="preserve"> </w:t>
      </w:r>
      <w:r w:rsidR="005678B0" w:rsidRPr="00ED27AB">
        <w:rPr>
          <w:rFonts w:ascii="Times New Roman" w:hAnsi="Times New Roman" w:cs="Times New Roman"/>
          <w:i/>
          <w:iCs/>
          <w:sz w:val="24"/>
          <w:szCs w:val="24"/>
          <w:highlight w:val="yellow"/>
        </w:rPr>
        <w:t>be noted.</w:t>
      </w:r>
    </w:p>
    <w:p w14:paraId="7F2D778F" w14:textId="1E06E069" w:rsidR="00C47920" w:rsidRDefault="00C628CD" w:rsidP="004A335B">
      <w:pPr>
        <w:pStyle w:val="Heading2"/>
      </w:pPr>
      <w:r>
        <w:t>Adverse Events</w:t>
      </w:r>
    </w:p>
    <w:p w14:paraId="3222FE2A" w14:textId="2317B95B" w:rsidR="00C628CD" w:rsidRDefault="00C628CD" w:rsidP="004A335B">
      <w:pPr>
        <w:pStyle w:val="Heading3"/>
      </w:pPr>
      <w:r w:rsidRPr="00C628CD">
        <w:t>Analysis of Adverse Events</w:t>
      </w:r>
    </w:p>
    <w:p w14:paraId="5F7F2FB5" w14:textId="248CAF06" w:rsidR="007C7372" w:rsidRPr="00107FCE" w:rsidRDefault="007C7372" w:rsidP="00245DB4">
      <w:pPr>
        <w:spacing w:before="160" w:after="80" w:line="278" w:lineRule="auto"/>
        <w:rPr>
          <w:rFonts w:ascii="Times New Roman" w:hAnsi="Times New Roman" w:cs="Times New Roman"/>
          <w:i/>
          <w:iCs/>
          <w:sz w:val="24"/>
          <w:szCs w:val="24"/>
          <w:highlight w:val="yellow"/>
        </w:rPr>
      </w:pPr>
      <w:r w:rsidRPr="00107FCE">
        <w:rPr>
          <w:rFonts w:ascii="Times New Roman" w:hAnsi="Times New Roman" w:cs="Times New Roman"/>
          <w:i/>
          <w:iCs/>
          <w:sz w:val="24"/>
          <w:szCs w:val="24"/>
          <w:highlight w:val="yellow"/>
        </w:rPr>
        <w:t>Data on the frequency of adverse events should be described in text and tables. Text should appear in the appropriate subsections of section 2.7.4.2.1, and the tables that are not embedded in the text should be placed in the section 2.7.4.7 Appendix.</w:t>
      </w:r>
    </w:p>
    <w:p w14:paraId="31ED6A6C" w14:textId="1CB66C40" w:rsidR="007C7372" w:rsidRPr="00107FCE" w:rsidRDefault="00D20B49" w:rsidP="00245DB4">
      <w:pPr>
        <w:spacing w:before="160" w:after="80" w:line="278" w:lineRule="auto"/>
        <w:rPr>
          <w:rFonts w:ascii="Times New Roman" w:hAnsi="Times New Roman" w:cs="Times New Roman"/>
          <w:i/>
          <w:iCs/>
          <w:sz w:val="24"/>
          <w:szCs w:val="24"/>
          <w:highlight w:val="yellow"/>
        </w:rPr>
      </w:pPr>
      <w:r w:rsidRPr="00107FCE">
        <w:rPr>
          <w:rFonts w:ascii="Times New Roman" w:hAnsi="Times New Roman" w:cs="Times New Roman"/>
          <w:i/>
          <w:iCs/>
          <w:sz w:val="24"/>
          <w:szCs w:val="24"/>
          <w:highlight w:val="yellow"/>
        </w:rPr>
        <w:t>All adverse events occurring or worsening after treatment has begun (treatment emergent signs and symptoms, those adverse events not seen at baseline and those that worsened even if present at baseline) should be summarized in tables listing each event, the number of subjects in whom the event occurred and the frequency of occurrence in subjects treated with the drug under investigation, with comparator drugs, and with placebo. Such tables could also present results for each dose and could be modified to show adverse event rates by severity, by time from onset of therapy, or by assessment of causality. When most of the relevant safety data are derived from a small number of studies (e.g., one or two studies) or when very different study subject populations were enrolled in the studies that were performed, presentation of data by study will often be appropriate. When the relevant exposure data are not concentrated in a small number of studies, however, grouping the studies and pooling the results to improve precision of estimates and sensitivity to differences should generally be considered. While often useful, pooling of safety data across studies should be approached with caution because in some cases interpretation can be difficult, and it can obscure real differences. In cases where differences are apparent, it is more appropriate to present the data by study. The following issues should be considered:</w:t>
      </w:r>
    </w:p>
    <w:p w14:paraId="37935600" w14:textId="73A89591" w:rsidR="00D20B49" w:rsidRPr="00107FCE" w:rsidRDefault="00D20B49" w:rsidP="00245DB4">
      <w:pPr>
        <w:pStyle w:val="ListParagraph"/>
        <w:numPr>
          <w:ilvl w:val="0"/>
          <w:numId w:val="11"/>
        </w:numPr>
        <w:spacing w:before="160" w:after="80" w:line="278" w:lineRule="auto"/>
        <w:rPr>
          <w:rFonts w:ascii="Times New Roman" w:hAnsi="Times New Roman" w:cs="Times New Roman"/>
          <w:i/>
          <w:iCs/>
          <w:sz w:val="28"/>
          <w:szCs w:val="28"/>
          <w:highlight w:val="yellow"/>
        </w:rPr>
      </w:pPr>
      <w:r w:rsidRPr="00107FCE">
        <w:rPr>
          <w:rFonts w:ascii="Times New Roman" w:hAnsi="Times New Roman" w:cs="Times New Roman"/>
          <w:i/>
          <w:iCs/>
          <w:sz w:val="24"/>
          <w:szCs w:val="24"/>
          <w:highlight w:val="yellow"/>
        </w:rPr>
        <w:t>It is most appropriate to combine data from studies that are of similar design (e.g., similar in dose, duration, methods of determining adverse events, and population).</w:t>
      </w:r>
    </w:p>
    <w:p w14:paraId="0F901D07" w14:textId="71F11B8A" w:rsidR="00D20B49" w:rsidRPr="00107FCE" w:rsidRDefault="002928F5" w:rsidP="00245DB4">
      <w:pPr>
        <w:pStyle w:val="ListParagraph"/>
        <w:numPr>
          <w:ilvl w:val="0"/>
          <w:numId w:val="11"/>
        </w:numPr>
        <w:spacing w:before="160" w:after="80" w:line="278" w:lineRule="auto"/>
        <w:rPr>
          <w:rFonts w:ascii="Times New Roman" w:hAnsi="Times New Roman" w:cs="Times New Roman"/>
          <w:i/>
          <w:iCs/>
          <w:sz w:val="28"/>
          <w:szCs w:val="28"/>
          <w:highlight w:val="yellow"/>
        </w:rPr>
      </w:pPr>
      <w:r w:rsidRPr="00107FCE">
        <w:rPr>
          <w:rFonts w:ascii="Times New Roman" w:hAnsi="Times New Roman" w:cs="Times New Roman"/>
          <w:i/>
          <w:iCs/>
          <w:sz w:val="24"/>
          <w:szCs w:val="24"/>
          <w:highlight w:val="yellow"/>
        </w:rPr>
        <w:t>If the incidence for a particular adverse event differs substantially across the individual studies in a pool, the pooled estimate is less informative.</w:t>
      </w:r>
    </w:p>
    <w:p w14:paraId="3187F3D2" w14:textId="580E7553" w:rsidR="002928F5" w:rsidRPr="00107FCE" w:rsidRDefault="002928F5" w:rsidP="00245DB4">
      <w:pPr>
        <w:pStyle w:val="ListParagraph"/>
        <w:numPr>
          <w:ilvl w:val="0"/>
          <w:numId w:val="11"/>
        </w:numPr>
        <w:spacing w:before="160" w:after="80" w:line="278" w:lineRule="auto"/>
        <w:rPr>
          <w:rFonts w:ascii="Times New Roman" w:hAnsi="Times New Roman" w:cs="Times New Roman"/>
          <w:i/>
          <w:iCs/>
          <w:sz w:val="28"/>
          <w:szCs w:val="28"/>
          <w:highlight w:val="yellow"/>
        </w:rPr>
      </w:pPr>
      <w:r w:rsidRPr="00107FCE">
        <w:rPr>
          <w:rFonts w:ascii="Times New Roman" w:hAnsi="Times New Roman" w:cs="Times New Roman"/>
          <w:i/>
          <w:iCs/>
          <w:sz w:val="24"/>
          <w:szCs w:val="24"/>
          <w:highlight w:val="yellow"/>
        </w:rPr>
        <w:t>Any study with an unusual adverse event pattern should be presented separately.</w:t>
      </w:r>
    </w:p>
    <w:p w14:paraId="471B02BC" w14:textId="16F01588" w:rsidR="002928F5" w:rsidRPr="00107FCE" w:rsidRDefault="002928F5" w:rsidP="00245DB4">
      <w:pPr>
        <w:pStyle w:val="ListParagraph"/>
        <w:numPr>
          <w:ilvl w:val="0"/>
          <w:numId w:val="11"/>
        </w:numPr>
        <w:spacing w:before="160" w:after="80" w:line="278" w:lineRule="auto"/>
        <w:rPr>
          <w:rFonts w:ascii="Times New Roman" w:hAnsi="Times New Roman" w:cs="Times New Roman"/>
          <w:i/>
          <w:iCs/>
          <w:sz w:val="28"/>
          <w:szCs w:val="28"/>
          <w:highlight w:val="yellow"/>
        </w:rPr>
      </w:pPr>
      <w:r w:rsidRPr="00107FCE">
        <w:rPr>
          <w:rFonts w:ascii="Times New Roman" w:hAnsi="Times New Roman" w:cs="Times New Roman"/>
          <w:i/>
          <w:iCs/>
          <w:sz w:val="24"/>
          <w:szCs w:val="24"/>
          <w:highlight w:val="yellow"/>
        </w:rPr>
        <w:t>The appropriate extent of analysis depends on the seriousness of the adverse event and the strength of evidence of drug causation. Differences in rates of drug-related, serious events or events leading to discontinuation or dosage change deserve more investigation, whereas rates of other adverse events do not merit elaborate analysis.</w:t>
      </w:r>
    </w:p>
    <w:p w14:paraId="6A16EE1B" w14:textId="311EF2D5" w:rsidR="002928F5" w:rsidRPr="00107FCE" w:rsidRDefault="005E0A88" w:rsidP="00245DB4">
      <w:pPr>
        <w:pStyle w:val="ListParagraph"/>
        <w:numPr>
          <w:ilvl w:val="0"/>
          <w:numId w:val="11"/>
        </w:numPr>
        <w:spacing w:before="160" w:after="80" w:line="278" w:lineRule="auto"/>
        <w:rPr>
          <w:rFonts w:ascii="Times New Roman" w:hAnsi="Times New Roman" w:cs="Times New Roman"/>
          <w:i/>
          <w:iCs/>
          <w:sz w:val="28"/>
          <w:szCs w:val="28"/>
          <w:highlight w:val="yellow"/>
        </w:rPr>
      </w:pPr>
      <w:r w:rsidRPr="00107FCE">
        <w:rPr>
          <w:rFonts w:ascii="Times New Roman" w:hAnsi="Times New Roman" w:cs="Times New Roman"/>
          <w:i/>
          <w:iCs/>
          <w:sz w:val="24"/>
          <w:szCs w:val="24"/>
          <w:highlight w:val="yellow"/>
        </w:rPr>
        <w:t>Examination of which subjects experience extreme laboratory value abnormalities (outliers) may be useful in identifying subgroups of individuals who are at particular risk for certain adverse events.</w:t>
      </w:r>
    </w:p>
    <w:p w14:paraId="44DC4E3D" w14:textId="171E8C34" w:rsidR="005E0A88" w:rsidRPr="00107FCE" w:rsidRDefault="005E0A88" w:rsidP="00245DB4">
      <w:pPr>
        <w:spacing w:before="160" w:after="80" w:line="278" w:lineRule="auto"/>
        <w:rPr>
          <w:rFonts w:ascii="Times New Roman" w:hAnsi="Times New Roman" w:cs="Times New Roman"/>
          <w:i/>
          <w:iCs/>
          <w:sz w:val="24"/>
          <w:szCs w:val="24"/>
          <w:highlight w:val="yellow"/>
        </w:rPr>
      </w:pPr>
      <w:r w:rsidRPr="00107FCE">
        <w:rPr>
          <w:rFonts w:ascii="Times New Roman" w:hAnsi="Times New Roman" w:cs="Times New Roman"/>
          <w:i/>
          <w:iCs/>
          <w:sz w:val="24"/>
          <w:szCs w:val="24"/>
          <w:highlight w:val="yellow"/>
        </w:rPr>
        <w:t>Groups of studies that could be used in pooled safety analyses include the following:</w:t>
      </w:r>
    </w:p>
    <w:p w14:paraId="280B121E" w14:textId="7AA8FEC9" w:rsidR="005E0A88" w:rsidRPr="00107FCE" w:rsidRDefault="005E0A88" w:rsidP="00245DB4">
      <w:pPr>
        <w:pStyle w:val="ListParagraph"/>
        <w:numPr>
          <w:ilvl w:val="0"/>
          <w:numId w:val="12"/>
        </w:numPr>
        <w:spacing w:before="160" w:after="80" w:line="278" w:lineRule="auto"/>
        <w:rPr>
          <w:rFonts w:ascii="Times New Roman" w:hAnsi="Times New Roman" w:cs="Times New Roman"/>
          <w:i/>
          <w:iCs/>
          <w:sz w:val="28"/>
          <w:szCs w:val="28"/>
          <w:highlight w:val="yellow"/>
        </w:rPr>
      </w:pPr>
      <w:r w:rsidRPr="00107FCE">
        <w:rPr>
          <w:rFonts w:ascii="Times New Roman" w:hAnsi="Times New Roman" w:cs="Times New Roman"/>
          <w:i/>
          <w:iCs/>
          <w:sz w:val="24"/>
          <w:szCs w:val="24"/>
          <w:highlight w:val="yellow"/>
        </w:rPr>
        <w:lastRenderedPageBreak/>
        <w:t>All controlled studies or subsets of controlled studies, such as all placebo-controlled studies, studies with any positive control, studies with a particular positive control, or studies of particular indications (and thus carried out in different populations). These groupings are considered the best source of information about the more common adverse events and can distinguish drug-related events from spontaneous events. Rates in control and treatment groups should be compared.</w:t>
      </w:r>
    </w:p>
    <w:p w14:paraId="00C73DAD" w14:textId="6CB603D5" w:rsidR="005E0A88" w:rsidRPr="00107FCE" w:rsidRDefault="00B87D69" w:rsidP="00245DB4">
      <w:pPr>
        <w:pStyle w:val="ListParagraph"/>
        <w:numPr>
          <w:ilvl w:val="0"/>
          <w:numId w:val="12"/>
        </w:numPr>
        <w:spacing w:before="160" w:after="80" w:line="278" w:lineRule="auto"/>
        <w:rPr>
          <w:rFonts w:ascii="Times New Roman" w:hAnsi="Times New Roman" w:cs="Times New Roman"/>
          <w:i/>
          <w:iCs/>
          <w:sz w:val="28"/>
          <w:szCs w:val="28"/>
          <w:highlight w:val="yellow"/>
        </w:rPr>
      </w:pPr>
      <w:r w:rsidRPr="00107FCE">
        <w:rPr>
          <w:rFonts w:ascii="Times New Roman" w:hAnsi="Times New Roman" w:cs="Times New Roman"/>
          <w:i/>
          <w:iCs/>
          <w:sz w:val="24"/>
          <w:szCs w:val="24"/>
          <w:highlight w:val="yellow"/>
        </w:rPr>
        <w:t>All studies, excluding short-term studies in healthy subjects. This grouping is most useful for evaluating rarer events.</w:t>
      </w:r>
    </w:p>
    <w:p w14:paraId="43741127" w14:textId="4883FA8E" w:rsidR="00B87D69" w:rsidRPr="00107FCE" w:rsidRDefault="00B87D69" w:rsidP="00245DB4">
      <w:pPr>
        <w:pStyle w:val="ListParagraph"/>
        <w:numPr>
          <w:ilvl w:val="0"/>
          <w:numId w:val="12"/>
        </w:numPr>
        <w:spacing w:before="160" w:after="80" w:line="278" w:lineRule="auto"/>
        <w:rPr>
          <w:rFonts w:ascii="Times New Roman" w:hAnsi="Times New Roman" w:cs="Times New Roman"/>
          <w:i/>
          <w:iCs/>
          <w:sz w:val="28"/>
          <w:szCs w:val="28"/>
          <w:highlight w:val="yellow"/>
        </w:rPr>
      </w:pPr>
      <w:r w:rsidRPr="00107FCE">
        <w:rPr>
          <w:rFonts w:ascii="Times New Roman" w:hAnsi="Times New Roman" w:cs="Times New Roman"/>
          <w:i/>
          <w:iCs/>
          <w:sz w:val="24"/>
          <w:szCs w:val="24"/>
          <w:highlight w:val="yellow"/>
        </w:rPr>
        <w:t>All studies using a particular dose route or regimen, or a particular concomitant therapy</w:t>
      </w:r>
      <w:r w:rsidR="00C579C4">
        <w:rPr>
          <w:rFonts w:ascii="Times New Roman" w:hAnsi="Times New Roman" w:cs="Times New Roman"/>
          <w:i/>
          <w:iCs/>
          <w:sz w:val="24"/>
          <w:szCs w:val="24"/>
          <w:highlight w:val="yellow"/>
        </w:rPr>
        <w:t>.</w:t>
      </w:r>
    </w:p>
    <w:p w14:paraId="7724539B" w14:textId="176CB0D0" w:rsidR="00B87D69" w:rsidRPr="00107FCE" w:rsidRDefault="00B87D69" w:rsidP="00245DB4">
      <w:pPr>
        <w:pStyle w:val="ListParagraph"/>
        <w:numPr>
          <w:ilvl w:val="0"/>
          <w:numId w:val="12"/>
        </w:numPr>
        <w:spacing w:before="160" w:after="80" w:line="278" w:lineRule="auto"/>
        <w:rPr>
          <w:rFonts w:ascii="Times New Roman" w:hAnsi="Times New Roman" w:cs="Times New Roman"/>
          <w:i/>
          <w:iCs/>
          <w:sz w:val="28"/>
          <w:szCs w:val="28"/>
          <w:highlight w:val="yellow"/>
        </w:rPr>
      </w:pPr>
      <w:r w:rsidRPr="00107FCE">
        <w:rPr>
          <w:rFonts w:ascii="Times New Roman" w:hAnsi="Times New Roman" w:cs="Times New Roman"/>
          <w:i/>
          <w:iCs/>
          <w:sz w:val="24"/>
          <w:szCs w:val="24"/>
          <w:highlight w:val="yellow"/>
        </w:rPr>
        <w:t>Studies in which adverse event reports are elicited by checklist or direct questioning, or studies in which events are volunteered.</w:t>
      </w:r>
    </w:p>
    <w:p w14:paraId="22D7BA66" w14:textId="6D45AA75" w:rsidR="00B87D69" w:rsidRPr="00107FCE" w:rsidRDefault="00B87D69" w:rsidP="00245DB4">
      <w:pPr>
        <w:pStyle w:val="ListParagraph"/>
        <w:numPr>
          <w:ilvl w:val="0"/>
          <w:numId w:val="12"/>
        </w:numPr>
        <w:spacing w:before="160" w:after="80" w:line="278" w:lineRule="auto"/>
        <w:rPr>
          <w:rFonts w:ascii="Times New Roman" w:hAnsi="Times New Roman" w:cs="Times New Roman"/>
          <w:i/>
          <w:iCs/>
          <w:sz w:val="28"/>
          <w:szCs w:val="28"/>
          <w:highlight w:val="yellow"/>
        </w:rPr>
      </w:pPr>
      <w:r w:rsidRPr="00107FCE">
        <w:rPr>
          <w:rFonts w:ascii="Times New Roman" w:hAnsi="Times New Roman" w:cs="Times New Roman"/>
          <w:i/>
          <w:iCs/>
          <w:sz w:val="24"/>
          <w:szCs w:val="24"/>
          <w:highlight w:val="yellow"/>
        </w:rPr>
        <w:t>Pools of studies by region</w:t>
      </w:r>
      <w:r w:rsidR="00C579C4">
        <w:rPr>
          <w:rFonts w:ascii="Times New Roman" w:hAnsi="Times New Roman" w:cs="Times New Roman"/>
          <w:i/>
          <w:iCs/>
          <w:sz w:val="24"/>
          <w:szCs w:val="24"/>
          <w:highlight w:val="yellow"/>
        </w:rPr>
        <w:t>.</w:t>
      </w:r>
    </w:p>
    <w:p w14:paraId="432F8679" w14:textId="72F6E345" w:rsidR="00B87D69" w:rsidRPr="00107FCE" w:rsidRDefault="00107FCE" w:rsidP="00245DB4">
      <w:pPr>
        <w:spacing w:before="160" w:after="80" w:line="278" w:lineRule="auto"/>
        <w:rPr>
          <w:rFonts w:ascii="Times New Roman" w:hAnsi="Times New Roman" w:cs="Times New Roman"/>
          <w:i/>
          <w:iCs/>
          <w:sz w:val="24"/>
          <w:szCs w:val="24"/>
          <w:highlight w:val="yellow"/>
        </w:rPr>
      </w:pPr>
      <w:r w:rsidRPr="00107FCE">
        <w:rPr>
          <w:rFonts w:ascii="Times New Roman" w:hAnsi="Times New Roman" w:cs="Times New Roman"/>
          <w:i/>
          <w:iCs/>
          <w:sz w:val="24"/>
          <w:szCs w:val="24"/>
          <w:highlight w:val="yellow"/>
        </w:rPr>
        <w:t>It is almost always useful to carry out the first two groupings; the others chosen would vary from drug to drug and should be influenced by inspection of individual study results. Whatever methods are used, it should be recognized that, as for results of single studies, any numerical rate is often only a rough approximation of reality. When a decision is made to pool data from several studies, the rationale for selecting the method used for pooling should be described. It is common to combine the numerator events and the denominators for the selected studies. Other methods for pooling results across studies are available (e.g., weighting data from studies based on study size or inversely to their variance). If substantial differences are seen between clinical trials in the rates of adverse events, these differences should be noted and possible reasons should be discussed (e.g., relevant differences in study populations, in dose administration, or in methods of collecting adverse event data).</w:t>
      </w:r>
    </w:p>
    <w:p w14:paraId="3F8BC4D9" w14:textId="23CC68D9" w:rsidR="00245DB4" w:rsidRPr="004A335B" w:rsidRDefault="00107FCE" w:rsidP="00245DB4">
      <w:pPr>
        <w:spacing w:before="160" w:after="80" w:line="278" w:lineRule="auto"/>
        <w:rPr>
          <w:rFonts w:ascii="Times New Roman" w:hAnsi="Times New Roman" w:cs="Times New Roman"/>
          <w:i/>
          <w:iCs/>
          <w:sz w:val="24"/>
          <w:szCs w:val="24"/>
        </w:rPr>
      </w:pPr>
      <w:r w:rsidRPr="00107FCE">
        <w:rPr>
          <w:rFonts w:ascii="Times New Roman" w:hAnsi="Times New Roman" w:cs="Times New Roman"/>
          <w:i/>
          <w:iCs/>
          <w:sz w:val="24"/>
          <w:szCs w:val="24"/>
          <w:highlight w:val="yellow"/>
        </w:rPr>
        <w:t>Adverse events should be described as shown in the individual study report (ICH E3). In combining data from many studies, it is important to use standardized terms to describe events and collect synonymous terms under a single preferred term. This can be done with a standard dictionary, and the Medical Dictionary for Regulatory Activities (MedDRA) terminology (ICH M1 guidance) should be used. Until MedDRA can be fully implemented, other dictionaries can be used but should be specified. Frequencies should be presented for preferred terms and for appropriately defined groupings. Examination of which adverse events led to change in therapy (discontinuation of drug use, change in dose, need for added therapy) can help in assessing the clinical importance of adverse events. These rates can be added to the adverse event rate tables or can be presented in separate tables. Overall discontinuation rates by study may be useful, but it is also important to specify the particular adverse events leading to discontinuation in a separate table. The preferred terms should be grouped by body system and arranged by decreasing frequency.</w:t>
      </w:r>
    </w:p>
    <w:p w14:paraId="421905FF" w14:textId="4A996CF8" w:rsidR="00C628CD" w:rsidRDefault="00C628CD" w:rsidP="004A335B">
      <w:pPr>
        <w:pStyle w:val="Heading3"/>
      </w:pPr>
      <w:r w:rsidRPr="00C628CD">
        <w:t>Common Adverse Events</w:t>
      </w:r>
    </w:p>
    <w:p w14:paraId="0D2D9495" w14:textId="399E1630" w:rsidR="00107FCE" w:rsidRPr="002D6C54" w:rsidRDefault="00E23B39" w:rsidP="00245DB4">
      <w:p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lastRenderedPageBreak/>
        <w:t>Tabular displays of adverse event rates (see section 2.7.4.7 Appendix) should be used to compare rates in treatment and control groups. For this analysis, it may be helpful to combine the event severity categories and the causality categories, if they are used, leading to a simpler side-by-side comparison of treatment groups. It should be noted that while causality categories may be reported if used, the presentation of the data should include total adverse events that occurred (whether deemed related or unrelated to treatment); evaluations of causality are inherently subjective and may exclude unexpected adverse events that are in fact treatment related. Additionally, comparisons of rates of adverse events between treatment and control groups in individual trials should be summarized here. It is often useful to tabulate rates in selected trials</w:t>
      </w:r>
      <w:r w:rsidR="00640ACA">
        <w:rPr>
          <w:rFonts w:ascii="Times New Roman" w:hAnsi="Times New Roman" w:cs="Times New Roman"/>
          <w:i/>
          <w:iCs/>
          <w:sz w:val="24"/>
          <w:szCs w:val="24"/>
          <w:highlight w:val="yellow"/>
        </w:rPr>
        <w:t>.</w:t>
      </w:r>
    </w:p>
    <w:p w14:paraId="25E7D6BE" w14:textId="0B67B033" w:rsidR="00E23B39" w:rsidRPr="002D6C54" w:rsidRDefault="00E23B39" w:rsidP="00245DB4">
      <w:p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It is usually useful to examine more closely the more common adverse events that seem to be drug related (e.g., those that show that a dose response and/or a clear difference between drug and placebo rates) for relationship to relevant factors, including:</w:t>
      </w:r>
    </w:p>
    <w:p w14:paraId="736E6889" w14:textId="709342F6" w:rsidR="00E23B39" w:rsidRPr="002D6C54" w:rsidRDefault="00E23B39" w:rsidP="00245DB4">
      <w:pPr>
        <w:pStyle w:val="ListParagraph"/>
        <w:numPr>
          <w:ilvl w:val="0"/>
          <w:numId w:val="13"/>
        </w:num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Dosage</w:t>
      </w:r>
    </w:p>
    <w:p w14:paraId="3B0B08E6" w14:textId="7F8B13EA" w:rsidR="00E23B39" w:rsidRPr="002D6C54" w:rsidRDefault="00E23B39" w:rsidP="00245DB4">
      <w:pPr>
        <w:pStyle w:val="ListParagraph"/>
        <w:numPr>
          <w:ilvl w:val="0"/>
          <w:numId w:val="13"/>
        </w:num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Mg/kg or mg/m</w:t>
      </w:r>
      <w:r w:rsidRPr="002D6C54">
        <w:rPr>
          <w:rFonts w:ascii="Times New Roman" w:hAnsi="Times New Roman" w:cs="Times New Roman"/>
          <w:i/>
          <w:iCs/>
          <w:sz w:val="24"/>
          <w:szCs w:val="24"/>
          <w:highlight w:val="yellow"/>
          <w:vertAlign w:val="superscript"/>
        </w:rPr>
        <w:t>2</w:t>
      </w:r>
      <w:r w:rsidRPr="002D6C54">
        <w:rPr>
          <w:rFonts w:ascii="Times New Roman" w:hAnsi="Times New Roman" w:cs="Times New Roman"/>
          <w:i/>
          <w:iCs/>
          <w:sz w:val="24"/>
          <w:szCs w:val="24"/>
          <w:highlight w:val="yellow"/>
        </w:rPr>
        <w:t xml:space="preserve"> dose</w:t>
      </w:r>
    </w:p>
    <w:p w14:paraId="1E9A26BA" w14:textId="06CAF33E" w:rsidR="00E23B39" w:rsidRPr="002D6C54" w:rsidRDefault="00E23B39" w:rsidP="00245DB4">
      <w:pPr>
        <w:pStyle w:val="ListParagraph"/>
        <w:numPr>
          <w:ilvl w:val="0"/>
          <w:numId w:val="13"/>
        </w:num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Dose regimen</w:t>
      </w:r>
    </w:p>
    <w:p w14:paraId="2E809709" w14:textId="29773274" w:rsidR="00E23B39" w:rsidRPr="002D6C54" w:rsidRDefault="00E23B39" w:rsidP="00245DB4">
      <w:pPr>
        <w:pStyle w:val="ListParagraph"/>
        <w:numPr>
          <w:ilvl w:val="0"/>
          <w:numId w:val="13"/>
        </w:num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Duration of treatment</w:t>
      </w:r>
    </w:p>
    <w:p w14:paraId="4A9ECBD3" w14:textId="7355EBA5" w:rsidR="00E23B39" w:rsidRPr="002D6C54" w:rsidRDefault="00E23B39" w:rsidP="00245DB4">
      <w:pPr>
        <w:pStyle w:val="ListParagraph"/>
        <w:numPr>
          <w:ilvl w:val="0"/>
          <w:numId w:val="13"/>
        </w:num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Total dose</w:t>
      </w:r>
    </w:p>
    <w:p w14:paraId="61DEE30E" w14:textId="4EBD8612" w:rsidR="00E23B39" w:rsidRPr="002D6C54" w:rsidRDefault="00E23B39" w:rsidP="00245DB4">
      <w:pPr>
        <w:pStyle w:val="ListParagraph"/>
        <w:numPr>
          <w:ilvl w:val="0"/>
          <w:numId w:val="13"/>
        </w:num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Demographic characteristics such as age, sex, race</w:t>
      </w:r>
    </w:p>
    <w:p w14:paraId="7A112CB4" w14:textId="10C7E220" w:rsidR="00E23B39" w:rsidRPr="002D6C54" w:rsidRDefault="00E23B39" w:rsidP="00245DB4">
      <w:pPr>
        <w:pStyle w:val="ListParagraph"/>
        <w:numPr>
          <w:ilvl w:val="0"/>
          <w:numId w:val="13"/>
        </w:num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Concomitant medication use</w:t>
      </w:r>
    </w:p>
    <w:p w14:paraId="69EA3FC2" w14:textId="16C48292" w:rsidR="00E23B39" w:rsidRPr="002D6C54" w:rsidRDefault="00E23B39" w:rsidP="00245DB4">
      <w:pPr>
        <w:pStyle w:val="ListParagraph"/>
        <w:numPr>
          <w:ilvl w:val="0"/>
          <w:numId w:val="13"/>
        </w:num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Other baseline features such as renal status</w:t>
      </w:r>
    </w:p>
    <w:p w14:paraId="0A84F449" w14:textId="69E3634A" w:rsidR="00E23B39" w:rsidRPr="002D6C54" w:rsidRDefault="00E23B39" w:rsidP="00245DB4">
      <w:pPr>
        <w:pStyle w:val="ListParagraph"/>
        <w:numPr>
          <w:ilvl w:val="0"/>
          <w:numId w:val="13"/>
        </w:num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Efficacy outcomes</w:t>
      </w:r>
    </w:p>
    <w:p w14:paraId="63E075EF" w14:textId="5A3E46A2" w:rsidR="00E23B39" w:rsidRPr="002D6C54" w:rsidRDefault="00E23B39" w:rsidP="00245DB4">
      <w:pPr>
        <w:pStyle w:val="ListParagraph"/>
        <w:numPr>
          <w:ilvl w:val="0"/>
          <w:numId w:val="13"/>
        </w:num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Drug concentration, where available</w:t>
      </w:r>
    </w:p>
    <w:p w14:paraId="7FD64136" w14:textId="565B301B" w:rsidR="002D6C54" w:rsidRPr="002D6C54" w:rsidRDefault="002D6C54" w:rsidP="00245DB4">
      <w:pPr>
        <w:spacing w:before="160" w:after="80" w:line="278" w:lineRule="auto"/>
        <w:rPr>
          <w:rFonts w:ascii="Times New Roman" w:hAnsi="Times New Roman" w:cs="Times New Roman"/>
          <w:i/>
          <w:iCs/>
          <w:sz w:val="24"/>
          <w:szCs w:val="24"/>
          <w:highlight w:val="yellow"/>
        </w:rPr>
      </w:pPr>
      <w:r w:rsidRPr="002D6C54">
        <w:rPr>
          <w:rFonts w:ascii="Times New Roman" w:hAnsi="Times New Roman" w:cs="Times New Roman"/>
          <w:i/>
          <w:iCs/>
          <w:sz w:val="24"/>
          <w:szCs w:val="24"/>
          <w:highlight w:val="yellow"/>
        </w:rPr>
        <w:t>It may also be useful to summarize the results of examination of time of onset and duration for these drug-related events.</w:t>
      </w:r>
    </w:p>
    <w:p w14:paraId="05D03021" w14:textId="0D38C9C8" w:rsidR="00245DB4" w:rsidRPr="002D6C54" w:rsidRDefault="002D6C54" w:rsidP="00245DB4">
      <w:pPr>
        <w:spacing w:before="160" w:after="80" w:line="278" w:lineRule="auto"/>
        <w:rPr>
          <w:rFonts w:ascii="Times New Roman" w:hAnsi="Times New Roman" w:cs="Times New Roman"/>
          <w:i/>
          <w:iCs/>
          <w:sz w:val="24"/>
          <w:szCs w:val="24"/>
        </w:rPr>
      </w:pPr>
      <w:r w:rsidRPr="002D6C54">
        <w:rPr>
          <w:rFonts w:ascii="Times New Roman" w:hAnsi="Times New Roman" w:cs="Times New Roman"/>
          <w:i/>
          <w:iCs/>
          <w:sz w:val="24"/>
          <w:szCs w:val="24"/>
          <w:highlight w:val="yellow"/>
        </w:rPr>
        <w:t>Rigorous statistical evaluations of the possible relationship of specific adverse events to each of the above factors are often unnecessary. It may be apparent from initial display and inspection of the data that there is no evidence of a significant relationship to demographic or other baseline features. In that case, no further analysis of these particular factors is needed. Furthermore, it is not necessary that all such analyses be presented in this report. When the safety analyses are too extensive to be presented in detail in this report, they may be presented in a separate report in Module 5, section 5.3.5.3, and summarized here. Under certain circumstances, life table or similar analyses may be more informative than reporting of crude adverse event rates.</w:t>
      </w:r>
    </w:p>
    <w:p w14:paraId="5C30CB47" w14:textId="4B819A42" w:rsidR="00C628CD" w:rsidRPr="004A335B" w:rsidRDefault="00C628CD" w:rsidP="004A335B">
      <w:pPr>
        <w:pStyle w:val="Heading4"/>
      </w:pPr>
      <w:r w:rsidRPr="004A335B">
        <w:t>Deaths</w:t>
      </w:r>
    </w:p>
    <w:p w14:paraId="209562CE" w14:textId="14FE2BD4" w:rsidR="00245DB4" w:rsidRPr="00EE04B8" w:rsidRDefault="00D73E25" w:rsidP="00245DB4">
      <w:pPr>
        <w:spacing w:before="160" w:after="80" w:line="278" w:lineRule="auto"/>
        <w:rPr>
          <w:rFonts w:ascii="Times New Roman" w:hAnsi="Times New Roman" w:cs="Times New Roman"/>
          <w:i/>
          <w:iCs/>
          <w:sz w:val="24"/>
          <w:szCs w:val="24"/>
        </w:rPr>
      </w:pPr>
      <w:r w:rsidRPr="00EE04B8">
        <w:rPr>
          <w:rFonts w:ascii="Times New Roman" w:hAnsi="Times New Roman" w:cs="Times New Roman"/>
          <w:i/>
          <w:iCs/>
          <w:sz w:val="24"/>
          <w:szCs w:val="24"/>
          <w:highlight w:val="yellow"/>
        </w:rPr>
        <w:t xml:space="preserve">A table in section 2.7.4.7 Appendix should list all deaths occurring while on study (including deaths that occurred shortly after treatment termination (e.g., within 30 days or as specified in </w:t>
      </w:r>
      <w:r w:rsidRPr="00EE04B8">
        <w:rPr>
          <w:rFonts w:ascii="Times New Roman" w:hAnsi="Times New Roman" w:cs="Times New Roman"/>
          <w:i/>
          <w:iCs/>
          <w:sz w:val="24"/>
          <w:szCs w:val="24"/>
          <w:highlight w:val="yellow"/>
        </w:rPr>
        <w:lastRenderedPageBreak/>
        <w:t xml:space="preserve">the study protocol) as well as all other deaths that occurred later but may have resulted from a process that began during studies. Only deaths that are clearly disease-related per protocol definitions and not related to the investigational product, either in studies of conditions with high mortality or in studies where mortality from disease is a primary study endpoint, should be excepted from this listing (it is assumed, however, that these deaths would still be reported in the individual ICH E3 study reports). Even these deaths should be examined for any unexpected patterns between study arms and further analyzed if unexplained differences are observed. Deaths should be examined individually and analyzed </w:t>
      </w:r>
      <w:r w:rsidR="00EE04B8" w:rsidRPr="00EE04B8">
        <w:rPr>
          <w:rFonts w:ascii="Times New Roman" w:hAnsi="Times New Roman" w:cs="Times New Roman"/>
          <w:i/>
          <w:iCs/>
          <w:sz w:val="24"/>
          <w:szCs w:val="24"/>
          <w:highlight w:val="yellow"/>
        </w:rPr>
        <w:t>based on</w:t>
      </w:r>
      <w:r w:rsidRPr="00EE04B8">
        <w:rPr>
          <w:rFonts w:ascii="Times New Roman" w:hAnsi="Times New Roman" w:cs="Times New Roman"/>
          <w:i/>
          <w:iCs/>
          <w:sz w:val="24"/>
          <w:szCs w:val="24"/>
          <w:highlight w:val="yellow"/>
        </w:rPr>
        <w:t xml:space="preserve"> rates in individual trials and appropriate pools of trials, considering both total mortality and </w:t>
      </w:r>
      <w:r w:rsidR="00640ACA" w:rsidRPr="00EE04B8">
        <w:rPr>
          <w:rFonts w:ascii="Times New Roman" w:hAnsi="Times New Roman" w:cs="Times New Roman"/>
          <w:i/>
          <w:iCs/>
          <w:sz w:val="24"/>
          <w:szCs w:val="24"/>
          <w:highlight w:val="yellow"/>
        </w:rPr>
        <w:t>cause specific</w:t>
      </w:r>
      <w:r w:rsidRPr="00EE04B8">
        <w:rPr>
          <w:rFonts w:ascii="Times New Roman" w:hAnsi="Times New Roman" w:cs="Times New Roman"/>
          <w:i/>
          <w:iCs/>
          <w:sz w:val="24"/>
          <w:szCs w:val="24"/>
          <w:highlight w:val="yellow"/>
        </w:rPr>
        <w:t xml:space="preserve"> deaths. Potential relationships to the factors listed in section 2.7.4.2.1.1 should also be considered. Although cause-specific mortality can be difficult to determine, some deaths are relatively easy to interpret. </w:t>
      </w:r>
      <w:r w:rsidR="00EE04B8" w:rsidRPr="00EE04B8">
        <w:rPr>
          <w:rFonts w:ascii="Times New Roman" w:hAnsi="Times New Roman" w:cs="Times New Roman"/>
          <w:i/>
          <w:iCs/>
          <w:sz w:val="24"/>
          <w:szCs w:val="24"/>
          <w:highlight w:val="yellow"/>
        </w:rPr>
        <w:t>Thus,</w:t>
      </w:r>
      <w:r w:rsidRPr="00EE04B8">
        <w:rPr>
          <w:rFonts w:ascii="Times New Roman" w:hAnsi="Times New Roman" w:cs="Times New Roman"/>
          <w:i/>
          <w:iCs/>
          <w:sz w:val="24"/>
          <w:szCs w:val="24"/>
          <w:highlight w:val="yellow"/>
        </w:rPr>
        <w:t xml:space="preserve"> deaths due to causes expected in the patient population are individually not considered to be informative, but even one death due to</w:t>
      </w:r>
      <w:r w:rsidR="003B5654">
        <w:rPr>
          <w:rFonts w:ascii="Times New Roman" w:hAnsi="Times New Roman" w:cs="Times New Roman"/>
          <w:i/>
          <w:iCs/>
          <w:sz w:val="24"/>
          <w:szCs w:val="24"/>
          <w:highlight w:val="yellow"/>
        </w:rPr>
        <w:t xml:space="preserve"> an</w:t>
      </w:r>
      <w:r w:rsidRPr="00EE04B8">
        <w:rPr>
          <w:rFonts w:ascii="Times New Roman" w:hAnsi="Times New Roman" w:cs="Times New Roman"/>
          <w:i/>
          <w:iCs/>
          <w:sz w:val="24"/>
          <w:szCs w:val="24"/>
          <w:highlight w:val="yellow"/>
        </w:rPr>
        <w:t xml:space="preserve"> </w:t>
      </w:r>
      <w:r w:rsidR="00EE04B8" w:rsidRPr="00EE04B8">
        <w:rPr>
          <w:rFonts w:ascii="Times New Roman" w:hAnsi="Times New Roman" w:cs="Times New Roman"/>
          <w:i/>
          <w:iCs/>
          <w:sz w:val="24"/>
          <w:szCs w:val="24"/>
          <w:highlight w:val="yellow"/>
        </w:rPr>
        <w:t>unexpected issue</w:t>
      </w:r>
      <w:r w:rsidRPr="00EE04B8">
        <w:rPr>
          <w:rFonts w:ascii="Times New Roman" w:hAnsi="Times New Roman" w:cs="Times New Roman"/>
          <w:i/>
          <w:iCs/>
          <w:sz w:val="24"/>
          <w:szCs w:val="24"/>
          <w:highlight w:val="yellow"/>
        </w:rPr>
        <w:t xml:space="preserve"> may be informative. Special caution is appropriate before an unusual death is attributed to concomitant illness.</w:t>
      </w:r>
    </w:p>
    <w:p w14:paraId="2EEE023D" w14:textId="3E9C010D" w:rsidR="00C628CD" w:rsidRDefault="00D73E25" w:rsidP="004A335B">
      <w:pPr>
        <w:pStyle w:val="Heading4"/>
      </w:pPr>
      <w:r>
        <w:t xml:space="preserve"> </w:t>
      </w:r>
      <w:r w:rsidR="00C628CD" w:rsidRPr="009C27BA">
        <w:t>Other Serious Adverse Events</w:t>
      </w:r>
    </w:p>
    <w:p w14:paraId="702574BF" w14:textId="3D4A98A8" w:rsidR="00245DB4" w:rsidRPr="004A335B" w:rsidRDefault="003B6F93" w:rsidP="00245DB4">
      <w:pPr>
        <w:spacing w:before="160" w:after="80" w:line="278" w:lineRule="auto"/>
        <w:rPr>
          <w:rFonts w:ascii="Times New Roman" w:hAnsi="Times New Roman" w:cs="Times New Roman"/>
          <w:i/>
          <w:iCs/>
          <w:sz w:val="24"/>
          <w:szCs w:val="24"/>
        </w:rPr>
      </w:pPr>
      <w:r w:rsidRPr="003B6F93">
        <w:rPr>
          <w:rFonts w:ascii="Times New Roman" w:hAnsi="Times New Roman" w:cs="Times New Roman"/>
          <w:i/>
          <w:iCs/>
          <w:sz w:val="24"/>
          <w:szCs w:val="24"/>
          <w:highlight w:val="yellow"/>
        </w:rPr>
        <w:t>Summaries of all serious adverse events (other than death but including the serious adverse events temporally associated with or preceding the deaths) should be displayed. Serious adverse events that occurred after the drug use was discontinued should be included in this section. The display should include major laboratory abnormalities, abnormal vital signs, and abnormal physical observations that are considered serious adverse events using the ICH E2A definitions. Results of analyses or assessments of serious adverse events across studies should be presented. Serious events should be examined for frequency over time, particularly for drugs that may be used chronically. Potential relationships to the factors listed in section 2.7.4.2.1.1 should also be considered.</w:t>
      </w:r>
    </w:p>
    <w:p w14:paraId="71823159" w14:textId="64F4A6A2" w:rsidR="00C628CD" w:rsidRDefault="00C628CD" w:rsidP="004A335B">
      <w:pPr>
        <w:pStyle w:val="Heading4"/>
      </w:pPr>
      <w:r>
        <w:t>Other Significant Adverse Events</w:t>
      </w:r>
    </w:p>
    <w:p w14:paraId="6431872C" w14:textId="76223EE3" w:rsidR="00680924" w:rsidRDefault="003B6F93" w:rsidP="00245DB4">
      <w:pPr>
        <w:spacing w:before="160" w:after="80" w:line="278" w:lineRule="auto"/>
        <w:rPr>
          <w:rFonts w:ascii="Times New Roman" w:hAnsi="Times New Roman" w:cs="Times New Roman"/>
          <w:i/>
          <w:iCs/>
          <w:sz w:val="24"/>
          <w:szCs w:val="24"/>
        </w:rPr>
      </w:pPr>
      <w:r w:rsidRPr="003B6F93">
        <w:rPr>
          <w:rFonts w:ascii="Times New Roman" w:hAnsi="Times New Roman" w:cs="Times New Roman"/>
          <w:i/>
          <w:iCs/>
          <w:sz w:val="24"/>
          <w:szCs w:val="24"/>
          <w:highlight w:val="yellow"/>
        </w:rPr>
        <w:t xml:space="preserve">Marked hematologic and other laboratory abnormalities (other than those meeting the definition of serious) and any events that led to a substantial intervention (premature discontinuation of study drug, dose reduction, or substantial additional concomitant therapy), other than those reported as serious adverse events, should be displayed. Events that led to premature discontinuation of study drug represent an important safety concern and deserve particular attention in the analysis of drug safety for two reasons. First, even for expected events (based on pharmacologic activity), the discontinuation or alteration of treatment reflects the severity and perceived importance of the event to patient and physician. Second, discontinuation may represent a drug-related event not yet recognized as drug related. Adverse events leading to treatment discontinuation should be considered possibly drug-related even if this was not recognized initially and even if the event was thought to represent intercurrent illness. Reasons for premature treatment discontinuations should be discussed, and rates of discontinuations should be compared across studies and compared with rates of discontinuations for placebo </w:t>
      </w:r>
      <w:r w:rsidRPr="003B6F93">
        <w:rPr>
          <w:rFonts w:ascii="Times New Roman" w:hAnsi="Times New Roman" w:cs="Times New Roman"/>
          <w:i/>
          <w:iCs/>
          <w:sz w:val="24"/>
          <w:szCs w:val="24"/>
          <w:highlight w:val="yellow"/>
        </w:rPr>
        <w:lastRenderedPageBreak/>
        <w:t>and/or active control treatment. In addition, the study data should be examined for any potential relationships to the factors listed in section 2.7.4.2.1.1.</w:t>
      </w:r>
    </w:p>
    <w:p w14:paraId="6555DBB5" w14:textId="77777777" w:rsidR="00245DB4" w:rsidRPr="003B6F93" w:rsidRDefault="00245DB4" w:rsidP="00245DB4">
      <w:pPr>
        <w:spacing w:before="160" w:after="80" w:line="278" w:lineRule="auto"/>
        <w:rPr>
          <w:rFonts w:ascii="Times New Roman" w:hAnsi="Times New Roman" w:cs="Times New Roman"/>
          <w:i/>
          <w:iCs/>
          <w:sz w:val="28"/>
          <w:szCs w:val="28"/>
        </w:rPr>
      </w:pPr>
    </w:p>
    <w:p w14:paraId="0E0482BA" w14:textId="422C5C6D" w:rsidR="00C628CD" w:rsidRDefault="00C628CD" w:rsidP="004A335B">
      <w:pPr>
        <w:pStyle w:val="Heading4"/>
      </w:pPr>
      <w:r>
        <w:t>Analysis of Adverse Events by Organ System or Syndrome</w:t>
      </w:r>
    </w:p>
    <w:p w14:paraId="40EA930E" w14:textId="6650DAA4" w:rsidR="00245DB4" w:rsidRPr="004A335B" w:rsidRDefault="00E55075" w:rsidP="00245DB4">
      <w:pPr>
        <w:spacing w:before="160" w:after="80" w:line="278" w:lineRule="auto"/>
        <w:rPr>
          <w:rFonts w:ascii="Times New Roman" w:hAnsi="Times New Roman" w:cs="Times New Roman"/>
          <w:i/>
          <w:iCs/>
          <w:sz w:val="24"/>
          <w:szCs w:val="24"/>
        </w:rPr>
      </w:pPr>
      <w:r w:rsidRPr="00A5354F">
        <w:rPr>
          <w:rFonts w:ascii="Times New Roman" w:hAnsi="Times New Roman" w:cs="Times New Roman"/>
          <w:i/>
          <w:iCs/>
          <w:sz w:val="24"/>
          <w:szCs w:val="24"/>
          <w:highlight w:val="yellow"/>
        </w:rPr>
        <w:t xml:space="preserve">Assessment of the causality of, and risk factors for serious events is often complicated by the fact that these events are uncommon. As a result, consideration of related events as a group, including less important events of potentially related pathophysiology, may be of critical value in understanding the safety profile. Thus, it is generally useful to summarize adverse events by organ system so that they may be considered in the context of potentially related events including laboratory abnormalities. Such presentations of adverse events by organ system should be placed in subsections of section </w:t>
      </w:r>
      <w:r w:rsidR="00A5354F" w:rsidRPr="00A5354F">
        <w:rPr>
          <w:rFonts w:ascii="Times New Roman" w:hAnsi="Times New Roman" w:cs="Times New Roman"/>
          <w:i/>
          <w:iCs/>
          <w:sz w:val="24"/>
          <w:szCs w:val="24"/>
          <w:highlight w:val="yellow"/>
        </w:rPr>
        <w:t>2.7.4.2.1.5 and</w:t>
      </w:r>
      <w:r w:rsidRPr="00A5354F">
        <w:rPr>
          <w:rFonts w:ascii="Times New Roman" w:hAnsi="Times New Roman" w:cs="Times New Roman"/>
          <w:i/>
          <w:iCs/>
          <w:sz w:val="24"/>
          <w:szCs w:val="24"/>
          <w:highlight w:val="yellow"/>
        </w:rPr>
        <w:t xml:space="preserve"> titled by the organ system under consideration. The list of organ systems to be addressed and the approach to grouping certain events should be selected as appropriate to best present the adverse event data for the medicinal product. If some adverse events tend to occur in syndromes (e.g., influenza-like syndrome, cytokine release syndrome), the sponsor may choose to create some subsections of 2.7.4.2.1.5 for syndromes rather than organ systems. The same data and summarizations should generally not be repeated in more than one subsection of section 2.7.4.2.1. Instead, a summary presentation may be placed in one subsection and cross</w:t>
      </w:r>
      <w:r w:rsidR="00A5354F" w:rsidRPr="00A5354F">
        <w:rPr>
          <w:rFonts w:ascii="Times New Roman" w:hAnsi="Times New Roman" w:cs="Times New Roman"/>
          <w:i/>
          <w:iCs/>
          <w:sz w:val="24"/>
          <w:szCs w:val="24"/>
          <w:highlight w:val="yellow"/>
        </w:rPr>
        <w:t>-</w:t>
      </w:r>
      <w:r w:rsidRPr="00A5354F">
        <w:rPr>
          <w:rFonts w:ascii="Times New Roman" w:hAnsi="Times New Roman" w:cs="Times New Roman"/>
          <w:i/>
          <w:iCs/>
          <w:sz w:val="24"/>
          <w:szCs w:val="24"/>
          <w:highlight w:val="yellow"/>
        </w:rPr>
        <w:t>referenced as appropriate in others.</w:t>
      </w:r>
    </w:p>
    <w:p w14:paraId="0F250867" w14:textId="7673BA8E" w:rsidR="00C628CD" w:rsidRDefault="00C628CD" w:rsidP="004A335B">
      <w:pPr>
        <w:pStyle w:val="Heading3"/>
      </w:pPr>
      <w:r>
        <w:t>Narratives</w:t>
      </w:r>
    </w:p>
    <w:p w14:paraId="78562C43" w14:textId="051D4779" w:rsidR="00245DB4" w:rsidRPr="004A335B" w:rsidRDefault="001A087C" w:rsidP="00245DB4">
      <w:pPr>
        <w:spacing w:before="160" w:after="80" w:line="278" w:lineRule="auto"/>
        <w:rPr>
          <w:rFonts w:ascii="Times New Roman" w:hAnsi="Times New Roman" w:cs="Times New Roman"/>
          <w:i/>
          <w:iCs/>
          <w:sz w:val="24"/>
          <w:szCs w:val="24"/>
        </w:rPr>
      </w:pPr>
      <w:r w:rsidRPr="006C61D2">
        <w:rPr>
          <w:rFonts w:ascii="Times New Roman" w:hAnsi="Times New Roman" w:cs="Times New Roman"/>
          <w:i/>
          <w:iCs/>
          <w:sz w:val="24"/>
          <w:szCs w:val="24"/>
          <w:highlight w:val="yellow"/>
        </w:rPr>
        <w:t>The locations in the application of individual narratives of patient deaths, other serious adverse events, and other significant adverse events deemed to be of special interest because of clinical importance (as described in ICH E3 individual study reports) should be referenced here for the</w:t>
      </w:r>
      <w:r w:rsidR="006C61D2" w:rsidRPr="006C61D2">
        <w:rPr>
          <w:rFonts w:ascii="Times New Roman" w:hAnsi="Times New Roman" w:cs="Times New Roman"/>
          <w:i/>
          <w:iCs/>
          <w:sz w:val="24"/>
          <w:szCs w:val="24"/>
          <w:highlight w:val="yellow"/>
        </w:rPr>
        <w:t xml:space="preserve"> convenience of the reviewer. The narratives themselves should be a part of the individual study reports, if there is such a report. In cases where there is no individual study report (e.g., if many open studies are pooled as part of a safety analysis and are not individually described), narratives can be placed in Module 5, section 5.3.5.3. Narratives should not be included here unless an abbreviated narrative of events is considered critical to the summary assessment of the drug.</w:t>
      </w:r>
    </w:p>
    <w:p w14:paraId="488A0280" w14:textId="5156CA16" w:rsidR="00C47920" w:rsidRDefault="00C628CD" w:rsidP="004A335B">
      <w:pPr>
        <w:pStyle w:val="Heading2"/>
      </w:pPr>
      <w:r>
        <w:t>Clinical Laboratory Evaluations</w:t>
      </w:r>
    </w:p>
    <w:p w14:paraId="0FF53A57" w14:textId="2CB5EA97" w:rsidR="005706D5" w:rsidRPr="00330B36" w:rsidRDefault="005706D5" w:rsidP="00245DB4">
      <w:pPr>
        <w:spacing w:before="160" w:after="80" w:line="278" w:lineRule="auto"/>
        <w:rPr>
          <w:rFonts w:ascii="Times New Roman" w:hAnsi="Times New Roman" w:cs="Times New Roman"/>
          <w:i/>
          <w:iCs/>
          <w:sz w:val="24"/>
          <w:szCs w:val="24"/>
          <w:highlight w:val="yellow"/>
        </w:rPr>
      </w:pPr>
      <w:r w:rsidRPr="00330B36">
        <w:rPr>
          <w:rFonts w:ascii="Times New Roman" w:hAnsi="Times New Roman" w:cs="Times New Roman"/>
          <w:i/>
          <w:iCs/>
          <w:sz w:val="24"/>
          <w:szCs w:val="24"/>
          <w:highlight w:val="yellow"/>
        </w:rPr>
        <w:t>A brief overview of the major changes in laboratory values across clinical studies should be provided. Laboratory data should include hematology, clinical chemistry, urinalysis, and other data as appropriate. Each parameter at each time over the course of the study (e.g., at each visit) should be described at the following three levels:</w:t>
      </w:r>
    </w:p>
    <w:p w14:paraId="76828855" w14:textId="2E7278AE" w:rsidR="005706D5" w:rsidRPr="00330B36" w:rsidRDefault="005706D5" w:rsidP="00245DB4">
      <w:pPr>
        <w:pStyle w:val="ListParagraph"/>
        <w:numPr>
          <w:ilvl w:val="0"/>
          <w:numId w:val="10"/>
        </w:numPr>
        <w:spacing w:before="160" w:after="80" w:line="278" w:lineRule="auto"/>
        <w:rPr>
          <w:rFonts w:ascii="Times New Roman" w:hAnsi="Times New Roman" w:cs="Times New Roman"/>
          <w:i/>
          <w:iCs/>
          <w:sz w:val="24"/>
          <w:szCs w:val="24"/>
          <w:highlight w:val="yellow"/>
        </w:rPr>
      </w:pPr>
      <w:r w:rsidRPr="00330B36">
        <w:rPr>
          <w:rFonts w:ascii="Times New Roman" w:hAnsi="Times New Roman" w:cs="Times New Roman"/>
          <w:i/>
          <w:iCs/>
          <w:sz w:val="24"/>
          <w:szCs w:val="24"/>
          <w:highlight w:val="yellow"/>
        </w:rPr>
        <w:t>The central tendency (i.e.</w:t>
      </w:r>
      <w:r w:rsidR="001C63A6">
        <w:rPr>
          <w:rFonts w:ascii="Times New Roman" w:hAnsi="Times New Roman" w:cs="Times New Roman"/>
          <w:i/>
          <w:iCs/>
          <w:sz w:val="24"/>
          <w:szCs w:val="24"/>
          <w:highlight w:val="yellow"/>
        </w:rPr>
        <w:t>,</w:t>
      </w:r>
      <w:r w:rsidRPr="00330B36">
        <w:rPr>
          <w:rFonts w:ascii="Times New Roman" w:hAnsi="Times New Roman" w:cs="Times New Roman"/>
          <w:i/>
          <w:iCs/>
          <w:sz w:val="24"/>
          <w:szCs w:val="24"/>
          <w:highlight w:val="yellow"/>
        </w:rPr>
        <w:t xml:space="preserve"> group mean and median values)</w:t>
      </w:r>
      <w:r w:rsidR="00D70340">
        <w:rPr>
          <w:rFonts w:ascii="Times New Roman" w:hAnsi="Times New Roman" w:cs="Times New Roman"/>
          <w:i/>
          <w:iCs/>
          <w:sz w:val="24"/>
          <w:szCs w:val="24"/>
          <w:highlight w:val="yellow"/>
        </w:rPr>
        <w:t>.</w:t>
      </w:r>
    </w:p>
    <w:p w14:paraId="3AF65B98" w14:textId="283D4005" w:rsidR="005706D5" w:rsidRPr="00330B36" w:rsidRDefault="0054435E" w:rsidP="00245DB4">
      <w:pPr>
        <w:pStyle w:val="ListParagraph"/>
        <w:numPr>
          <w:ilvl w:val="0"/>
          <w:numId w:val="10"/>
        </w:numPr>
        <w:spacing w:before="160" w:after="80" w:line="278" w:lineRule="auto"/>
        <w:rPr>
          <w:rFonts w:ascii="Times New Roman" w:hAnsi="Times New Roman" w:cs="Times New Roman"/>
          <w:i/>
          <w:iCs/>
          <w:sz w:val="24"/>
          <w:szCs w:val="24"/>
          <w:highlight w:val="yellow"/>
        </w:rPr>
      </w:pPr>
      <w:r w:rsidRPr="00330B36">
        <w:rPr>
          <w:rFonts w:ascii="Times New Roman" w:hAnsi="Times New Roman" w:cs="Times New Roman"/>
          <w:i/>
          <w:iCs/>
          <w:sz w:val="24"/>
          <w:szCs w:val="24"/>
          <w:highlight w:val="yellow"/>
        </w:rPr>
        <w:t xml:space="preserve">The range of values and the number of subjects with abnormal values or with abnormal values of a certain size (e.g., twice the upper limit of normal, five times the upper limit; </w:t>
      </w:r>
      <w:r w:rsidRPr="00330B36">
        <w:rPr>
          <w:rFonts w:ascii="Times New Roman" w:hAnsi="Times New Roman" w:cs="Times New Roman"/>
          <w:i/>
          <w:iCs/>
          <w:sz w:val="24"/>
          <w:szCs w:val="24"/>
          <w:highlight w:val="yellow"/>
        </w:rPr>
        <w:lastRenderedPageBreak/>
        <w:t xml:space="preserve">choices should be explained). When data are pooled from centers with differences in normal laboratory ranges, the methodology used in pooling should be described. The analysis of individual subject changes by treatment group can be shown with a variety of approaches (e.g., shift tables, see ICH E3 for examples). </w:t>
      </w:r>
    </w:p>
    <w:p w14:paraId="4B0A17CA" w14:textId="650A669C" w:rsidR="00245DB4" w:rsidRPr="004A335B" w:rsidRDefault="00330B36" w:rsidP="00245DB4">
      <w:pPr>
        <w:pStyle w:val="ListParagraph"/>
        <w:numPr>
          <w:ilvl w:val="0"/>
          <w:numId w:val="10"/>
        </w:numPr>
        <w:spacing w:before="160" w:after="80" w:line="278" w:lineRule="auto"/>
        <w:rPr>
          <w:rFonts w:ascii="Times New Roman" w:hAnsi="Times New Roman" w:cs="Times New Roman"/>
          <w:i/>
          <w:iCs/>
          <w:sz w:val="24"/>
          <w:szCs w:val="24"/>
          <w:highlight w:val="yellow"/>
        </w:rPr>
      </w:pPr>
      <w:r w:rsidRPr="00330B36">
        <w:rPr>
          <w:rFonts w:ascii="Times New Roman" w:hAnsi="Times New Roman" w:cs="Times New Roman"/>
          <w:i/>
          <w:iCs/>
          <w:sz w:val="24"/>
          <w:szCs w:val="24"/>
          <w:highlight w:val="yellow"/>
        </w:rPr>
        <w:t>Individual clinically important abnormalities, including those leading to discontinuations. The significance of laboratory changes and the likely relation to the treatment should be assessed (e.g., by analysis of such features as relationship to dose, relationship to drug concentration, disappearance on continued therapy, positive dechallenge, positive rechallenge, and the nature of concomitant therapy). Potential relationships to other factors listed in section 2.7.4.2.1.1 should also be considered.</w:t>
      </w:r>
    </w:p>
    <w:p w14:paraId="0BF07EB9" w14:textId="4BA6E8B7" w:rsidR="00C47920" w:rsidRDefault="00C628CD" w:rsidP="004A335B">
      <w:pPr>
        <w:pStyle w:val="Heading2"/>
      </w:pPr>
      <w:r>
        <w:t>Vital Signs, Physical Findings, and Other Observations Related to Safety</w:t>
      </w:r>
    </w:p>
    <w:p w14:paraId="66720E29" w14:textId="5424A592" w:rsidR="00245DB4" w:rsidRPr="004A335B" w:rsidRDefault="00A5708A" w:rsidP="00245DB4">
      <w:pPr>
        <w:spacing w:before="160" w:after="80" w:line="278" w:lineRule="auto"/>
        <w:rPr>
          <w:rFonts w:ascii="Times New Roman" w:hAnsi="Times New Roman" w:cs="Times New Roman"/>
          <w:i/>
          <w:iCs/>
          <w:sz w:val="24"/>
          <w:szCs w:val="24"/>
        </w:rPr>
      </w:pPr>
      <w:r w:rsidRPr="00175D50">
        <w:rPr>
          <w:rFonts w:ascii="Times New Roman" w:hAnsi="Times New Roman" w:cs="Times New Roman"/>
          <w:i/>
          <w:iCs/>
          <w:sz w:val="24"/>
          <w:szCs w:val="24"/>
          <w:highlight w:val="yellow"/>
        </w:rPr>
        <w:t>The manner of presenting cross-study observations and comparisons of vital signs (e.g., heart rate, blood pressure, temperature, respiratory rate), weight, and other data (e.g., electrocardiograms, X-rays) related to safety should be similar to that for laboratory variables. If</w:t>
      </w:r>
      <w:r w:rsidR="00175D50" w:rsidRPr="00175D50">
        <w:rPr>
          <w:rFonts w:ascii="Times New Roman" w:hAnsi="Times New Roman" w:cs="Times New Roman"/>
          <w:i/>
          <w:iCs/>
          <w:sz w:val="24"/>
          <w:szCs w:val="24"/>
          <w:highlight w:val="yellow"/>
        </w:rPr>
        <w:t xml:space="preserve"> there is evidence of a drug effect, any dose-response or drug concentration-response relationship or relationship to individual variables (e.g., disease, demographics, concomitant therapy) should be identified and the clinical relevance of the observation described. Particular attention should be given to changes not evaluated as efficacy variables and to those considered to be adverse events. Particular attention should be given to studies that were designed to evaluate specific safety issues.</w:t>
      </w:r>
    </w:p>
    <w:p w14:paraId="5A189E87" w14:textId="4F2943E3" w:rsidR="0049128E" w:rsidRPr="0079760F" w:rsidRDefault="00C628CD" w:rsidP="004A335B">
      <w:pPr>
        <w:pStyle w:val="Heading2"/>
      </w:pPr>
      <w:r>
        <w:t>Safety in Special Groups and Situations</w:t>
      </w:r>
    </w:p>
    <w:p w14:paraId="0732E3EB" w14:textId="042D3A18" w:rsidR="00C628CD" w:rsidRDefault="00C628CD" w:rsidP="004A335B">
      <w:pPr>
        <w:pStyle w:val="Heading3"/>
      </w:pPr>
      <w:r>
        <w:t>Intrinsic Factors</w:t>
      </w:r>
    </w:p>
    <w:p w14:paraId="5D496C8E" w14:textId="6E6C84CB" w:rsidR="00245DB4" w:rsidRPr="004A335B" w:rsidRDefault="00EE603A" w:rsidP="00245DB4">
      <w:pPr>
        <w:spacing w:before="160" w:after="80" w:line="278" w:lineRule="auto"/>
        <w:rPr>
          <w:rFonts w:ascii="Times New Roman" w:hAnsi="Times New Roman" w:cs="Times New Roman"/>
          <w:i/>
          <w:iCs/>
          <w:sz w:val="24"/>
          <w:szCs w:val="24"/>
        </w:rPr>
      </w:pPr>
      <w:r w:rsidRPr="00EE603A">
        <w:rPr>
          <w:rFonts w:ascii="Times New Roman" w:hAnsi="Times New Roman" w:cs="Times New Roman"/>
          <w:i/>
          <w:iCs/>
          <w:sz w:val="24"/>
          <w:szCs w:val="24"/>
          <w:highlight w:val="yellow"/>
        </w:rPr>
        <w:t>This section should summarize safety data pertinent to individualizing therapy or patient management based on demographic and other factors defined as intrinsic ethnic factors in ICH E5. These factors include age, sex, height, weight, lean body mass, genetic polymorphism, body composition, other illness, and organ dysfunction. Safety in the pediatric population should be routinely analyzed in applications for a proposed indication that occurs in children. Analysis of the impact of such factors on safety outcomes should have been presented in other sections but should be summarized here, together with pertinent PK or other information (e.g., in patients with renal or hepatic disease). If a sufficiently large number of subjects with a given co-morbid condition (such as hypertension, heart disease, or diabetes) was enrolled, analyses should be carried out to assess whether the co-morbid condition affected the safety of the drug under study. Cross-reference should be made to the tables or description of adverse events when analyses of such subgroups have been carried out.</w:t>
      </w:r>
    </w:p>
    <w:p w14:paraId="4E4BA270" w14:textId="7593390F" w:rsidR="00C628CD" w:rsidRDefault="00C628CD" w:rsidP="004A335B">
      <w:pPr>
        <w:pStyle w:val="Heading3"/>
      </w:pPr>
      <w:r>
        <w:t>Extrinsic Factors</w:t>
      </w:r>
    </w:p>
    <w:p w14:paraId="375E83D8" w14:textId="6164E762" w:rsidR="007B0FAE" w:rsidRDefault="007B0FAE" w:rsidP="00245DB4">
      <w:pPr>
        <w:spacing w:before="160" w:after="80" w:line="278" w:lineRule="auto"/>
        <w:rPr>
          <w:rFonts w:ascii="Times New Roman" w:hAnsi="Times New Roman" w:cs="Times New Roman"/>
          <w:i/>
          <w:iCs/>
          <w:sz w:val="24"/>
          <w:szCs w:val="24"/>
        </w:rPr>
      </w:pPr>
      <w:r w:rsidRPr="007B0FAE">
        <w:rPr>
          <w:rFonts w:ascii="Times New Roman" w:hAnsi="Times New Roman" w:cs="Times New Roman"/>
          <w:i/>
          <w:iCs/>
          <w:sz w:val="24"/>
          <w:szCs w:val="24"/>
          <w:highlight w:val="yellow"/>
        </w:rPr>
        <w:lastRenderedPageBreak/>
        <w:t>This section should summarize safety data pertinent to individualizing therapy or patient management based on factors defined as extrinsic ethnic factors in ICH E5. These are factors associated with the patient environment. Examples are the medical environment, use of other drugs (see section 2.7.4.5.3, Drug Interactions), use of tobacco, use of alcohol, and food habits.</w:t>
      </w:r>
    </w:p>
    <w:p w14:paraId="125FE705" w14:textId="77777777" w:rsidR="00245DB4" w:rsidRPr="007B0FAE" w:rsidRDefault="00245DB4" w:rsidP="00245DB4">
      <w:pPr>
        <w:spacing w:before="160" w:after="80" w:line="278" w:lineRule="auto"/>
        <w:rPr>
          <w:rFonts w:ascii="Times New Roman" w:hAnsi="Times New Roman" w:cs="Times New Roman"/>
          <w:i/>
          <w:iCs/>
          <w:sz w:val="28"/>
          <w:szCs w:val="28"/>
        </w:rPr>
      </w:pPr>
    </w:p>
    <w:p w14:paraId="3CECEE73" w14:textId="0545CB6A" w:rsidR="00C628CD" w:rsidRDefault="00C628CD" w:rsidP="004A335B">
      <w:pPr>
        <w:pStyle w:val="Heading3"/>
      </w:pPr>
      <w:r>
        <w:t>Drug Interactions</w:t>
      </w:r>
    </w:p>
    <w:p w14:paraId="0049276A" w14:textId="249C5705" w:rsidR="00245DB4" w:rsidRPr="004A335B" w:rsidRDefault="00701893" w:rsidP="00245DB4">
      <w:pPr>
        <w:spacing w:before="160" w:after="80" w:line="278" w:lineRule="auto"/>
        <w:rPr>
          <w:rFonts w:ascii="Times New Roman" w:hAnsi="Times New Roman" w:cs="Times New Roman"/>
          <w:i/>
          <w:iCs/>
          <w:sz w:val="24"/>
          <w:szCs w:val="24"/>
        </w:rPr>
      </w:pPr>
      <w:r w:rsidRPr="00701893">
        <w:rPr>
          <w:rFonts w:ascii="Times New Roman" w:hAnsi="Times New Roman" w:cs="Times New Roman"/>
          <w:i/>
          <w:iCs/>
          <w:sz w:val="24"/>
          <w:szCs w:val="24"/>
          <w:highlight w:val="yellow"/>
        </w:rPr>
        <w:t>Studies on potential drug-drug or drug-food interactions should be summarized in the Summary of Clinical Pharmacology Studies section of the CTD (section 2.7.2). The potential impact on safety of such interactions should be summarized here, based on PK, PD, or clinical observations. Any observed changes in the adverse event profile, changes in blood levels thought to be associated with risk, or changes in drug effects associated with other therapy should be presented here.</w:t>
      </w:r>
    </w:p>
    <w:p w14:paraId="53720CCD" w14:textId="13A58278" w:rsidR="00C628CD" w:rsidRDefault="00C628CD" w:rsidP="004A335B">
      <w:pPr>
        <w:pStyle w:val="Heading3"/>
      </w:pPr>
      <w:r>
        <w:t>Use in Pregnancy and Lactation</w:t>
      </w:r>
    </w:p>
    <w:p w14:paraId="08EFDE13" w14:textId="4E044A4F" w:rsidR="00245DB4" w:rsidRPr="004A335B" w:rsidRDefault="00FC05E4" w:rsidP="00245DB4">
      <w:pPr>
        <w:spacing w:before="160" w:after="80" w:line="278" w:lineRule="auto"/>
        <w:rPr>
          <w:rFonts w:asciiTheme="majorBidi" w:hAnsiTheme="majorBidi" w:cstheme="majorBidi"/>
          <w:i/>
          <w:iCs/>
          <w:sz w:val="24"/>
          <w:szCs w:val="24"/>
        </w:rPr>
      </w:pPr>
      <w:r w:rsidRPr="00FC05E4">
        <w:rPr>
          <w:rFonts w:asciiTheme="majorBidi" w:hAnsiTheme="majorBidi" w:cstheme="majorBidi"/>
          <w:i/>
          <w:iCs/>
          <w:sz w:val="24"/>
          <w:szCs w:val="24"/>
          <w:highlight w:val="yellow"/>
        </w:rPr>
        <w:t>Any information on safety of use during pregnancy or breast-feeding that becomes available during clinical development or from other sources should be summarized here.</w:t>
      </w:r>
    </w:p>
    <w:p w14:paraId="1EBA6D9C" w14:textId="1956D1E0" w:rsidR="00C628CD" w:rsidRDefault="00C628CD" w:rsidP="004A335B">
      <w:pPr>
        <w:pStyle w:val="Heading3"/>
      </w:pPr>
      <w:r>
        <w:t>Overdose</w:t>
      </w:r>
    </w:p>
    <w:p w14:paraId="7C8A2404" w14:textId="18C38548" w:rsidR="00245DB4" w:rsidRPr="004A335B" w:rsidRDefault="00FC05E4" w:rsidP="00245DB4">
      <w:pPr>
        <w:spacing w:before="160" w:after="80" w:line="278" w:lineRule="auto"/>
        <w:rPr>
          <w:rFonts w:ascii="Times New Roman" w:hAnsi="Times New Roman" w:cs="Times New Roman"/>
          <w:i/>
          <w:iCs/>
          <w:sz w:val="24"/>
          <w:szCs w:val="24"/>
        </w:rPr>
      </w:pPr>
      <w:r w:rsidRPr="00FC05E4">
        <w:rPr>
          <w:rFonts w:ascii="Times New Roman" w:hAnsi="Times New Roman" w:cs="Times New Roman"/>
          <w:i/>
          <w:iCs/>
          <w:sz w:val="24"/>
          <w:szCs w:val="24"/>
          <w:highlight w:val="yellow"/>
        </w:rPr>
        <w:t>All available clinical information relevant to overdose, including signs and/or symptoms, laboratory findings, and therapeutic measures and/or treatments and antidotes (if available), should be summarized and discussed. Information on the efficacy of specific antidotes and dialysis should be provided if available.</w:t>
      </w:r>
    </w:p>
    <w:p w14:paraId="47DB6F3A" w14:textId="0331D17B" w:rsidR="00C628CD" w:rsidRDefault="00C628CD" w:rsidP="004A335B">
      <w:pPr>
        <w:pStyle w:val="Heading3"/>
      </w:pPr>
      <w:r>
        <w:t>Drug Abuse</w:t>
      </w:r>
    </w:p>
    <w:p w14:paraId="1402215A" w14:textId="12B36213" w:rsidR="00245DB4" w:rsidRPr="004A335B" w:rsidRDefault="00AE2CF4" w:rsidP="00245DB4">
      <w:pPr>
        <w:spacing w:before="160" w:after="80" w:line="278" w:lineRule="auto"/>
        <w:rPr>
          <w:rFonts w:ascii="Times New Roman" w:hAnsi="Times New Roman" w:cs="Times New Roman"/>
          <w:i/>
          <w:iCs/>
          <w:sz w:val="24"/>
          <w:szCs w:val="24"/>
        </w:rPr>
      </w:pPr>
      <w:r w:rsidRPr="00AE2CF4">
        <w:rPr>
          <w:rFonts w:ascii="Times New Roman" w:hAnsi="Times New Roman" w:cs="Times New Roman"/>
          <w:i/>
          <w:iCs/>
          <w:sz w:val="24"/>
          <w:szCs w:val="24"/>
          <w:highlight w:val="yellow"/>
        </w:rPr>
        <w:t>Any relevant studies and information regarding the investigation of the dependence potential of a new therapeutic agent in animals and in humans should be summarized and cross-referenced to the nonclinical summary. Particularly susceptible patient populations should be identified.</w:t>
      </w:r>
    </w:p>
    <w:p w14:paraId="4A26889B" w14:textId="4F468E03" w:rsidR="00C628CD" w:rsidRDefault="00C628CD" w:rsidP="004A335B">
      <w:pPr>
        <w:pStyle w:val="Heading3"/>
      </w:pPr>
      <w:r>
        <w:t>Withdrawal and Rebound</w:t>
      </w:r>
    </w:p>
    <w:p w14:paraId="3E6F1AC5" w14:textId="15E64666" w:rsidR="00245DB4" w:rsidRPr="004A335B" w:rsidRDefault="00AE2CF4" w:rsidP="00245DB4">
      <w:pPr>
        <w:spacing w:before="160" w:after="80" w:line="278" w:lineRule="auto"/>
        <w:rPr>
          <w:rFonts w:ascii="Times New Roman" w:hAnsi="Times New Roman" w:cs="Times New Roman"/>
          <w:i/>
          <w:iCs/>
          <w:sz w:val="24"/>
          <w:szCs w:val="24"/>
        </w:rPr>
      </w:pPr>
      <w:r w:rsidRPr="00AE2CF4">
        <w:rPr>
          <w:rFonts w:ascii="Times New Roman" w:hAnsi="Times New Roman" w:cs="Times New Roman"/>
          <w:i/>
          <w:iCs/>
          <w:sz w:val="24"/>
          <w:szCs w:val="24"/>
          <w:highlight w:val="yellow"/>
        </w:rPr>
        <w:t>Any information or study results pertinent to rebound effects should be summarized. Events that occur, or increase in severity, after discontinuation of double-blind or active study medication should be examined to see if they are the result of withdrawal of the study medication. Emphasis should be given to studies designed to evaluate withdrawal and/or rebound. Data concerning tolerance should be summarized under section 2.7.3.5 in the Summary of Clinical Efficacy.</w:t>
      </w:r>
    </w:p>
    <w:p w14:paraId="30350E60" w14:textId="03215D6C" w:rsidR="00C628CD" w:rsidRDefault="00C628CD" w:rsidP="004A335B">
      <w:pPr>
        <w:pStyle w:val="Heading3"/>
      </w:pPr>
      <w:r>
        <w:t>Effects on Ability to Drive or Operate Machinery or Impairment of Mental Ability</w:t>
      </w:r>
    </w:p>
    <w:p w14:paraId="31C999D4" w14:textId="61AC4F04" w:rsidR="00245DB4" w:rsidRPr="00036750" w:rsidRDefault="00036750" w:rsidP="00245DB4">
      <w:pPr>
        <w:spacing w:before="160" w:after="80" w:line="278" w:lineRule="auto"/>
        <w:rPr>
          <w:rFonts w:ascii="Times New Roman" w:hAnsi="Times New Roman" w:cs="Times New Roman"/>
          <w:i/>
          <w:iCs/>
          <w:sz w:val="24"/>
          <w:szCs w:val="24"/>
        </w:rPr>
      </w:pPr>
      <w:r w:rsidRPr="00036750">
        <w:rPr>
          <w:rFonts w:ascii="Times New Roman" w:hAnsi="Times New Roman" w:cs="Times New Roman"/>
          <w:i/>
          <w:iCs/>
          <w:sz w:val="24"/>
          <w:szCs w:val="24"/>
          <w:highlight w:val="yellow"/>
        </w:rPr>
        <w:t xml:space="preserve">Safety data related to any impairment in the senses, coordination, or any other factor that would result in diminished ability to drive a vehicle or operate machinery or that would impair mental ability should be summarized. This includes relevant adverse effects reported in safety </w:t>
      </w:r>
      <w:r w:rsidRPr="00036750">
        <w:rPr>
          <w:rFonts w:ascii="Times New Roman" w:hAnsi="Times New Roman" w:cs="Times New Roman"/>
          <w:i/>
          <w:iCs/>
          <w:sz w:val="24"/>
          <w:szCs w:val="24"/>
          <w:highlight w:val="yellow"/>
        </w:rPr>
        <w:lastRenderedPageBreak/>
        <w:t>monitoring (e.g., drowsiness) and specific studies concerning effects on ability to drive or operate machinery or impairment of mental ability.</w:t>
      </w:r>
    </w:p>
    <w:p w14:paraId="0041A0DF" w14:textId="4E827D7D" w:rsidR="00856E0E" w:rsidRDefault="00C628CD" w:rsidP="004A335B">
      <w:pPr>
        <w:pStyle w:val="Heading2"/>
      </w:pPr>
      <w:r w:rsidRPr="00036750">
        <w:t>Postmarketing Data</w:t>
      </w:r>
    </w:p>
    <w:p w14:paraId="2E460809" w14:textId="1B5425C7" w:rsidR="00245DB4" w:rsidRPr="004A335B" w:rsidRDefault="00452BC6" w:rsidP="00245DB4">
      <w:pPr>
        <w:spacing w:before="160" w:after="80" w:line="278" w:lineRule="auto"/>
        <w:rPr>
          <w:rFonts w:ascii="Times New Roman" w:hAnsi="Times New Roman" w:cs="Times New Roman"/>
          <w:i/>
          <w:iCs/>
          <w:sz w:val="24"/>
          <w:szCs w:val="24"/>
        </w:rPr>
      </w:pPr>
      <w:r w:rsidRPr="0017611C">
        <w:rPr>
          <w:rFonts w:ascii="Times New Roman" w:hAnsi="Times New Roman" w:cs="Times New Roman"/>
          <w:i/>
          <w:iCs/>
          <w:sz w:val="24"/>
          <w:szCs w:val="24"/>
          <w:highlight w:val="yellow"/>
        </w:rPr>
        <w:t>If the drug has already been marketed, all relevant postmarketing data available to the applicant (published and unpublished, including periodic safety update reports if available) should be summarized. The periodic safety update reports can be included in Module 5. Details of the number of subjects estimated to have been exposed should be provided and categorized, as appropriate, by indication, dosage, route, treatment duration, and geographic location. The</w:t>
      </w:r>
      <w:r w:rsidR="0017611C" w:rsidRPr="0017611C">
        <w:rPr>
          <w:rFonts w:ascii="Times New Roman" w:hAnsi="Times New Roman" w:cs="Times New Roman"/>
          <w:i/>
          <w:iCs/>
          <w:sz w:val="24"/>
          <w:szCs w:val="24"/>
          <w:highlight w:val="yellow"/>
        </w:rPr>
        <w:t xml:space="preserve"> methodology used to estimate the number of subjects exposed should be described. If estimates of the demographic details are available from any source, these should be provided. A tabulation of serious events reported after the drug is marketed should be provided, including any potentially serious drug interactions. Any postmarketing findings in subgroups should be described.</w:t>
      </w:r>
    </w:p>
    <w:p w14:paraId="60CB6766" w14:textId="462C2AA7" w:rsidR="00C628CD" w:rsidRDefault="00C628CD" w:rsidP="004A335B">
      <w:pPr>
        <w:pStyle w:val="Heading2"/>
      </w:pPr>
      <w:r w:rsidRPr="00C628CD">
        <w:t>Appendix</w:t>
      </w:r>
    </w:p>
    <w:p w14:paraId="08EB0B33" w14:textId="3EF1C977" w:rsidR="00C628CD" w:rsidRPr="00C628CD" w:rsidRDefault="00C628CD" w:rsidP="00245DB4">
      <w:pPr>
        <w:spacing w:before="160" w:after="80" w:line="278" w:lineRule="auto"/>
        <w:rPr>
          <w:rFonts w:ascii="Times New Roman" w:hAnsi="Times New Roman" w:cs="Times New Roman"/>
          <w:i/>
          <w:iCs/>
          <w:sz w:val="24"/>
          <w:szCs w:val="24"/>
        </w:rPr>
      </w:pPr>
      <w:r w:rsidRPr="00C628CD">
        <w:rPr>
          <w:rFonts w:ascii="Times New Roman" w:hAnsi="Times New Roman" w:cs="Times New Roman"/>
          <w:i/>
          <w:iCs/>
          <w:sz w:val="24"/>
          <w:szCs w:val="24"/>
          <w:highlight w:val="yellow"/>
        </w:rPr>
        <w:t xml:space="preserve">Use this section to include lengthy tables. </w:t>
      </w:r>
      <w:r w:rsidR="001607C4">
        <w:rPr>
          <w:rFonts w:ascii="Times New Roman" w:hAnsi="Times New Roman" w:cs="Times New Roman"/>
          <w:i/>
          <w:iCs/>
          <w:sz w:val="24"/>
          <w:szCs w:val="24"/>
          <w:highlight w:val="yellow"/>
        </w:rPr>
        <w:t>S</w:t>
      </w:r>
      <w:r w:rsidRPr="00C628CD">
        <w:rPr>
          <w:rFonts w:ascii="Times New Roman" w:hAnsi="Times New Roman" w:cs="Times New Roman"/>
          <w:i/>
          <w:iCs/>
          <w:sz w:val="24"/>
          <w:szCs w:val="24"/>
          <w:highlight w:val="yellow"/>
        </w:rPr>
        <w:t xml:space="preserve">maller tables can be embedded in the text of the appropriate sections when they enhance the </w:t>
      </w:r>
      <w:r w:rsidR="00640ACA" w:rsidRPr="00C628CD">
        <w:rPr>
          <w:rFonts w:ascii="Times New Roman" w:hAnsi="Times New Roman" w:cs="Times New Roman"/>
          <w:i/>
          <w:iCs/>
          <w:sz w:val="24"/>
          <w:szCs w:val="24"/>
          <w:highlight w:val="yellow"/>
        </w:rPr>
        <w:t>readability</w:t>
      </w:r>
      <w:r w:rsidRPr="00C628CD">
        <w:rPr>
          <w:rFonts w:ascii="Times New Roman" w:hAnsi="Times New Roman" w:cs="Times New Roman"/>
          <w:i/>
          <w:iCs/>
          <w:sz w:val="24"/>
          <w:szCs w:val="24"/>
          <w:highlight w:val="yellow"/>
        </w:rPr>
        <w:t xml:space="preserve"> of the document.</w:t>
      </w:r>
    </w:p>
    <w:p w14:paraId="35D132B8" w14:textId="77777777" w:rsidR="00C628CD" w:rsidRPr="00C628CD" w:rsidRDefault="00C628CD" w:rsidP="00245DB4">
      <w:pPr>
        <w:spacing w:before="160" w:after="80" w:line="278" w:lineRule="auto"/>
        <w:rPr>
          <w:rFonts w:ascii="Times New Roman" w:hAnsi="Times New Roman" w:cs="Times New Roman"/>
          <w:sz w:val="28"/>
          <w:szCs w:val="28"/>
        </w:rPr>
      </w:pPr>
    </w:p>
    <w:sectPr w:rsidR="00C628CD" w:rsidRPr="00C628CD">
      <w:headerReference w:type="default" r:id="rId11"/>
      <w:footerReference w:type="even"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7D96A" w14:textId="77777777" w:rsidR="00625781" w:rsidRDefault="00625781" w:rsidP="006C1FF6">
      <w:pPr>
        <w:spacing w:after="0" w:line="240" w:lineRule="auto"/>
      </w:pPr>
      <w:r>
        <w:separator/>
      </w:r>
    </w:p>
  </w:endnote>
  <w:endnote w:type="continuationSeparator" w:id="0">
    <w:p w14:paraId="62B3895D" w14:textId="77777777" w:rsidR="00625781" w:rsidRDefault="00625781" w:rsidP="006C1FF6">
      <w:pPr>
        <w:spacing w:after="0" w:line="240" w:lineRule="auto"/>
      </w:pPr>
      <w:r>
        <w:continuationSeparator/>
      </w:r>
    </w:p>
  </w:endnote>
  <w:endnote w:type="continuationNotice" w:id="1">
    <w:p w14:paraId="57DDD16E" w14:textId="77777777" w:rsidR="00870D39" w:rsidRDefault="00870D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7208321"/>
      <w:docPartObj>
        <w:docPartGallery w:val="Page Numbers (Bottom of Page)"/>
        <w:docPartUnique/>
      </w:docPartObj>
    </w:sdtPr>
    <w:sdtEndPr>
      <w:rPr>
        <w:rStyle w:val="PageNumber"/>
      </w:rPr>
    </w:sdtEndPr>
    <w:sdtContent>
      <w:p w14:paraId="3058D829" w14:textId="767BAD4C" w:rsidR="006C1FF6" w:rsidRDefault="006C1FF6" w:rsidP="007919E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D0E12B" w14:textId="77777777" w:rsidR="006C1FF6" w:rsidRDefault="006C1FF6" w:rsidP="006C1F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6069D" w14:textId="1D58D0B8" w:rsidR="006C1FF6" w:rsidRDefault="006C1FF6" w:rsidP="007919EC">
    <w:pPr>
      <w:pStyle w:val="Footer"/>
      <w:framePr w:wrap="none" w:vAnchor="text" w:hAnchor="margin" w:xAlign="right" w:y="1"/>
      <w:rPr>
        <w:rStyle w:val="PageNumber"/>
      </w:rPr>
    </w:pPr>
    <w:r>
      <w:rPr>
        <w:rStyle w:val="PageNumber"/>
      </w:rPr>
      <w:t>Module 2.</w:t>
    </w:r>
    <w:r w:rsidR="001A371D">
      <w:rPr>
        <w:rStyle w:val="PageNumber"/>
      </w:rPr>
      <w:t>7</w:t>
    </w:r>
    <w:r>
      <w:rPr>
        <w:rStyle w:val="PageNumber"/>
      </w:rPr>
      <w:t>.</w:t>
    </w:r>
    <w:r w:rsidR="007B0E05">
      <w:rPr>
        <w:rStyle w:val="PageNumber"/>
      </w:rPr>
      <w:t>4</w:t>
    </w:r>
    <w:r>
      <w:rPr>
        <w:rStyle w:val="PageNumber"/>
      </w:rPr>
      <w:t xml:space="preserve">, Page </w:t>
    </w:r>
    <w:sdt>
      <w:sdtPr>
        <w:rPr>
          <w:rStyle w:val="PageNumber"/>
        </w:rPr>
        <w:id w:val="-677193780"/>
        <w:docPartObj>
          <w:docPartGallery w:val="Page Numbers (Bottom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sdtContent>
    </w:sdt>
  </w:p>
  <w:p w14:paraId="006B9102" w14:textId="747A153B" w:rsidR="006C1FF6" w:rsidRDefault="006C1FF6" w:rsidP="006C1FF6">
    <w:pPr>
      <w:pStyle w:val="Footer"/>
      <w:ind w:right="360"/>
    </w:pPr>
    <w:r>
      <w:t xml:space="preserve">Investigational New Drug No. </w:t>
    </w:r>
    <w:r w:rsidRPr="00494DC2">
      <w:rPr>
        <w:i/>
        <w:iCs/>
        <w:highlight w:val="yellow"/>
      </w:rPr>
      <w:t>XXXXX</w: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1BC23" w14:textId="77777777" w:rsidR="00625781" w:rsidRDefault="00625781" w:rsidP="006C1FF6">
      <w:pPr>
        <w:spacing w:after="0" w:line="240" w:lineRule="auto"/>
      </w:pPr>
      <w:r>
        <w:separator/>
      </w:r>
    </w:p>
  </w:footnote>
  <w:footnote w:type="continuationSeparator" w:id="0">
    <w:p w14:paraId="1AF8C762" w14:textId="77777777" w:rsidR="00625781" w:rsidRDefault="00625781" w:rsidP="006C1FF6">
      <w:pPr>
        <w:spacing w:after="0" w:line="240" w:lineRule="auto"/>
      </w:pPr>
      <w:r>
        <w:continuationSeparator/>
      </w:r>
    </w:p>
  </w:footnote>
  <w:footnote w:type="continuationNotice" w:id="1">
    <w:p w14:paraId="17B8E8EB" w14:textId="77777777" w:rsidR="00870D39" w:rsidRDefault="00870D3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DE45" w14:textId="1C9349E3" w:rsidR="006C1FF6" w:rsidRDefault="006C1FF6">
    <w:pPr>
      <w:pStyle w:val="Header"/>
    </w:pPr>
    <w:r>
      <w:ptab w:relativeTo="margin" w:alignment="center" w:leader="none"/>
    </w:r>
    <w:r>
      <w:t>Title of Application</w:t>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024C1"/>
    <w:multiLevelType w:val="hybridMultilevel"/>
    <w:tmpl w:val="5EDCBC4A"/>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5C31660"/>
    <w:multiLevelType w:val="multilevel"/>
    <w:tmpl w:val="338CD3EC"/>
    <w:lvl w:ilvl="0">
      <w:start w:val="2"/>
      <w:numFmt w:val="decimal"/>
      <w:lvlText w:val="%1."/>
      <w:lvlJc w:val="left"/>
      <w:pPr>
        <w:ind w:left="640" w:hanging="640"/>
      </w:pPr>
      <w:rPr>
        <w:rFonts w:hint="default"/>
      </w:rPr>
    </w:lvl>
    <w:lvl w:ilvl="1">
      <w:start w:val="7"/>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pStyle w:val="Heading2"/>
      <w:lvlText w:val="%1.%2.%3.%4."/>
      <w:lvlJc w:val="left"/>
      <w:pPr>
        <w:ind w:left="1080" w:hanging="1080"/>
      </w:pPr>
      <w:rPr>
        <w:rFonts w:hint="default"/>
      </w:rPr>
    </w:lvl>
    <w:lvl w:ilvl="4">
      <w:start w:val="1"/>
      <w:numFmt w:val="decimal"/>
      <w:pStyle w:val="Heading3"/>
      <w:lvlText w:val="%1.%2.%3.%4.%5."/>
      <w:lvlJc w:val="left"/>
      <w:pPr>
        <w:ind w:left="1080" w:hanging="1080"/>
      </w:pPr>
      <w:rPr>
        <w:rFonts w:ascii="Times New Roman" w:hAnsi="Times New Roman" w:cs="Times New Roman" w:hint="default"/>
        <w:i/>
        <w:iCs/>
        <w:sz w:val="24"/>
        <w:szCs w:val="24"/>
      </w:rPr>
    </w:lvl>
    <w:lvl w:ilvl="5">
      <w:start w:val="1"/>
      <w:numFmt w:val="decimal"/>
      <w:pStyle w:val="Heading4"/>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8023A3E"/>
    <w:multiLevelType w:val="multilevel"/>
    <w:tmpl w:val="38BE3450"/>
    <w:lvl w:ilvl="0">
      <w:start w:val="2"/>
      <w:numFmt w:val="decimal"/>
      <w:lvlText w:val="%1."/>
      <w:lvlJc w:val="left"/>
      <w:pPr>
        <w:ind w:left="640" w:hanging="640"/>
      </w:pPr>
      <w:rPr>
        <w:rFonts w:hint="default"/>
      </w:rPr>
    </w:lvl>
    <w:lvl w:ilvl="1">
      <w:start w:val="7"/>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1DFF7CD4"/>
    <w:multiLevelType w:val="hybridMultilevel"/>
    <w:tmpl w:val="60ECD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12375C"/>
    <w:multiLevelType w:val="hybridMultilevel"/>
    <w:tmpl w:val="0D1C4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0A2E4A"/>
    <w:multiLevelType w:val="hybridMultilevel"/>
    <w:tmpl w:val="20AAA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AA5805"/>
    <w:multiLevelType w:val="multilevel"/>
    <w:tmpl w:val="FCEA2E38"/>
    <w:lvl w:ilvl="0">
      <w:start w:val="2"/>
      <w:numFmt w:val="decimal"/>
      <w:lvlText w:val="%1."/>
      <w:lvlJc w:val="left"/>
      <w:pPr>
        <w:ind w:left="640" w:hanging="64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B9E629B"/>
    <w:multiLevelType w:val="multilevel"/>
    <w:tmpl w:val="4038309E"/>
    <w:lvl w:ilvl="0">
      <w:start w:val="2"/>
      <w:numFmt w:val="decimal"/>
      <w:lvlText w:val="%1."/>
      <w:lvlJc w:val="left"/>
      <w:pPr>
        <w:ind w:left="560" w:hanging="560"/>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F4E47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96B47EA"/>
    <w:multiLevelType w:val="hybridMultilevel"/>
    <w:tmpl w:val="F544CC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8C4824"/>
    <w:multiLevelType w:val="hybridMultilevel"/>
    <w:tmpl w:val="91B09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27288F"/>
    <w:multiLevelType w:val="multilevel"/>
    <w:tmpl w:val="EB92E006"/>
    <w:lvl w:ilvl="0">
      <w:start w:val="2"/>
      <w:numFmt w:val="decimal"/>
      <w:lvlText w:val="%1."/>
      <w:lvlJc w:val="left"/>
      <w:pPr>
        <w:ind w:left="640" w:hanging="640"/>
      </w:pPr>
      <w:rPr>
        <w:rFonts w:hint="default"/>
      </w:rPr>
    </w:lvl>
    <w:lvl w:ilvl="1">
      <w:start w:val="7"/>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i w:val="0"/>
        <w:iCs w:val="0"/>
        <w:sz w:val="28"/>
        <w:szCs w:val="2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E32085B"/>
    <w:multiLevelType w:val="hybridMultilevel"/>
    <w:tmpl w:val="9DEE2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5636023">
    <w:abstractNumId w:val="8"/>
  </w:num>
  <w:num w:numId="2" w16cid:durableId="943607828">
    <w:abstractNumId w:val="7"/>
  </w:num>
  <w:num w:numId="3" w16cid:durableId="479425479">
    <w:abstractNumId w:val="9"/>
  </w:num>
  <w:num w:numId="4" w16cid:durableId="1841769482">
    <w:abstractNumId w:val="0"/>
  </w:num>
  <w:num w:numId="5" w16cid:durableId="1274284609">
    <w:abstractNumId w:val="6"/>
  </w:num>
  <w:num w:numId="6" w16cid:durableId="1748382550">
    <w:abstractNumId w:val="11"/>
  </w:num>
  <w:num w:numId="7" w16cid:durableId="577516727">
    <w:abstractNumId w:val="2"/>
  </w:num>
  <w:num w:numId="8" w16cid:durableId="468863075">
    <w:abstractNumId w:val="10"/>
  </w:num>
  <w:num w:numId="9" w16cid:durableId="302121676">
    <w:abstractNumId w:val="1"/>
  </w:num>
  <w:num w:numId="10" w16cid:durableId="299502079">
    <w:abstractNumId w:val="4"/>
  </w:num>
  <w:num w:numId="11" w16cid:durableId="121314195">
    <w:abstractNumId w:val="12"/>
  </w:num>
  <w:num w:numId="12" w16cid:durableId="316885701">
    <w:abstractNumId w:val="5"/>
  </w:num>
  <w:num w:numId="13" w16cid:durableId="16975850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920"/>
    <w:rsid w:val="00003B4A"/>
    <w:rsid w:val="000075E1"/>
    <w:rsid w:val="00020449"/>
    <w:rsid w:val="00020D6F"/>
    <w:rsid w:val="00033AE7"/>
    <w:rsid w:val="00036750"/>
    <w:rsid w:val="0006172D"/>
    <w:rsid w:val="0006578D"/>
    <w:rsid w:val="0007213D"/>
    <w:rsid w:val="000C702B"/>
    <w:rsid w:val="000E15C9"/>
    <w:rsid w:val="000E1944"/>
    <w:rsid w:val="000F4B30"/>
    <w:rsid w:val="0010069E"/>
    <w:rsid w:val="00107FCE"/>
    <w:rsid w:val="00113C09"/>
    <w:rsid w:val="001442E2"/>
    <w:rsid w:val="00145963"/>
    <w:rsid w:val="001607C4"/>
    <w:rsid w:val="0016328E"/>
    <w:rsid w:val="0017219D"/>
    <w:rsid w:val="00175D50"/>
    <w:rsid w:val="0017611C"/>
    <w:rsid w:val="001A087C"/>
    <w:rsid w:val="001A371D"/>
    <w:rsid w:val="001C1B3E"/>
    <w:rsid w:val="001C63A6"/>
    <w:rsid w:val="001D4983"/>
    <w:rsid w:val="001D554E"/>
    <w:rsid w:val="001D6A41"/>
    <w:rsid w:val="0022662F"/>
    <w:rsid w:val="0023699D"/>
    <w:rsid w:val="00245DB4"/>
    <w:rsid w:val="00247F1A"/>
    <w:rsid w:val="00253A47"/>
    <w:rsid w:val="002648D4"/>
    <w:rsid w:val="00267C78"/>
    <w:rsid w:val="00270B92"/>
    <w:rsid w:val="002721FF"/>
    <w:rsid w:val="002928F5"/>
    <w:rsid w:val="002A109E"/>
    <w:rsid w:val="002A58DD"/>
    <w:rsid w:val="002C29F5"/>
    <w:rsid w:val="002C43B8"/>
    <w:rsid w:val="002C6CF8"/>
    <w:rsid w:val="002D1D5D"/>
    <w:rsid w:val="002D6C54"/>
    <w:rsid w:val="002E3802"/>
    <w:rsid w:val="002E385B"/>
    <w:rsid w:val="002E65A1"/>
    <w:rsid w:val="00304590"/>
    <w:rsid w:val="00315399"/>
    <w:rsid w:val="00316009"/>
    <w:rsid w:val="00316D3E"/>
    <w:rsid w:val="003303A0"/>
    <w:rsid w:val="00330B36"/>
    <w:rsid w:val="00330E30"/>
    <w:rsid w:val="00331400"/>
    <w:rsid w:val="003377DC"/>
    <w:rsid w:val="00342732"/>
    <w:rsid w:val="00345229"/>
    <w:rsid w:val="0034629C"/>
    <w:rsid w:val="003614B1"/>
    <w:rsid w:val="00374394"/>
    <w:rsid w:val="00390A37"/>
    <w:rsid w:val="003921CD"/>
    <w:rsid w:val="00395596"/>
    <w:rsid w:val="003A2D65"/>
    <w:rsid w:val="003A4D15"/>
    <w:rsid w:val="003B5654"/>
    <w:rsid w:val="003B6F93"/>
    <w:rsid w:val="003C28F0"/>
    <w:rsid w:val="003C29B4"/>
    <w:rsid w:val="003D1649"/>
    <w:rsid w:val="003E000D"/>
    <w:rsid w:val="003E5B94"/>
    <w:rsid w:val="003F23C9"/>
    <w:rsid w:val="003F617F"/>
    <w:rsid w:val="00415584"/>
    <w:rsid w:val="00422A1E"/>
    <w:rsid w:val="00422D18"/>
    <w:rsid w:val="004311D7"/>
    <w:rsid w:val="00432C5D"/>
    <w:rsid w:val="00441F98"/>
    <w:rsid w:val="00452BC6"/>
    <w:rsid w:val="00461345"/>
    <w:rsid w:val="0046643D"/>
    <w:rsid w:val="0048697F"/>
    <w:rsid w:val="0049128E"/>
    <w:rsid w:val="00494DC2"/>
    <w:rsid w:val="0049703E"/>
    <w:rsid w:val="00497DE0"/>
    <w:rsid w:val="004A1B19"/>
    <w:rsid w:val="004A335B"/>
    <w:rsid w:val="004A6418"/>
    <w:rsid w:val="004C63A1"/>
    <w:rsid w:val="004C6D77"/>
    <w:rsid w:val="004E1F07"/>
    <w:rsid w:val="004E33D2"/>
    <w:rsid w:val="004E3B0B"/>
    <w:rsid w:val="004F4C69"/>
    <w:rsid w:val="004F591E"/>
    <w:rsid w:val="004F5B2C"/>
    <w:rsid w:val="004F5EC2"/>
    <w:rsid w:val="00501893"/>
    <w:rsid w:val="005028AA"/>
    <w:rsid w:val="0051125E"/>
    <w:rsid w:val="00514D3D"/>
    <w:rsid w:val="00522A52"/>
    <w:rsid w:val="00524899"/>
    <w:rsid w:val="005254D9"/>
    <w:rsid w:val="00525855"/>
    <w:rsid w:val="00534B85"/>
    <w:rsid w:val="00542539"/>
    <w:rsid w:val="00543D81"/>
    <w:rsid w:val="0054435E"/>
    <w:rsid w:val="005550E0"/>
    <w:rsid w:val="005678B0"/>
    <w:rsid w:val="005706D5"/>
    <w:rsid w:val="0057087B"/>
    <w:rsid w:val="0059650D"/>
    <w:rsid w:val="005A4636"/>
    <w:rsid w:val="005B3703"/>
    <w:rsid w:val="005C2047"/>
    <w:rsid w:val="005C2D2D"/>
    <w:rsid w:val="005D48D7"/>
    <w:rsid w:val="005E0A88"/>
    <w:rsid w:val="005E29C5"/>
    <w:rsid w:val="005E6574"/>
    <w:rsid w:val="005F7042"/>
    <w:rsid w:val="005F74C7"/>
    <w:rsid w:val="00604AE9"/>
    <w:rsid w:val="00606533"/>
    <w:rsid w:val="00607D75"/>
    <w:rsid w:val="00610E1D"/>
    <w:rsid w:val="006140FC"/>
    <w:rsid w:val="0061551C"/>
    <w:rsid w:val="006213C7"/>
    <w:rsid w:val="00624987"/>
    <w:rsid w:val="00625781"/>
    <w:rsid w:val="00625EAD"/>
    <w:rsid w:val="00640ACA"/>
    <w:rsid w:val="00657873"/>
    <w:rsid w:val="0066205C"/>
    <w:rsid w:val="006679BE"/>
    <w:rsid w:val="00675A0F"/>
    <w:rsid w:val="00680924"/>
    <w:rsid w:val="00681E28"/>
    <w:rsid w:val="0069067D"/>
    <w:rsid w:val="006B232E"/>
    <w:rsid w:val="006C1FF6"/>
    <w:rsid w:val="006C61D2"/>
    <w:rsid w:val="006D78BC"/>
    <w:rsid w:val="006E1093"/>
    <w:rsid w:val="006E1CF0"/>
    <w:rsid w:val="006E4FDB"/>
    <w:rsid w:val="006F3955"/>
    <w:rsid w:val="00701893"/>
    <w:rsid w:val="00711BE7"/>
    <w:rsid w:val="00715B0D"/>
    <w:rsid w:val="00715EC7"/>
    <w:rsid w:val="00717B25"/>
    <w:rsid w:val="007248FE"/>
    <w:rsid w:val="00737953"/>
    <w:rsid w:val="007411DE"/>
    <w:rsid w:val="00746B88"/>
    <w:rsid w:val="00751A35"/>
    <w:rsid w:val="0076311B"/>
    <w:rsid w:val="007716FC"/>
    <w:rsid w:val="007879FE"/>
    <w:rsid w:val="00790E7D"/>
    <w:rsid w:val="0079743C"/>
    <w:rsid w:val="0079760F"/>
    <w:rsid w:val="007A3DEA"/>
    <w:rsid w:val="007A42F8"/>
    <w:rsid w:val="007A445A"/>
    <w:rsid w:val="007B0E05"/>
    <w:rsid w:val="007B0FAE"/>
    <w:rsid w:val="007C7372"/>
    <w:rsid w:val="007C7F50"/>
    <w:rsid w:val="007D523B"/>
    <w:rsid w:val="007D7C7A"/>
    <w:rsid w:val="007E22DB"/>
    <w:rsid w:val="007E7C70"/>
    <w:rsid w:val="007F2FDD"/>
    <w:rsid w:val="008158F4"/>
    <w:rsid w:val="0081772F"/>
    <w:rsid w:val="00822EB6"/>
    <w:rsid w:val="008231B1"/>
    <w:rsid w:val="00825332"/>
    <w:rsid w:val="00851088"/>
    <w:rsid w:val="00853115"/>
    <w:rsid w:val="008559BF"/>
    <w:rsid w:val="00856E0E"/>
    <w:rsid w:val="00861C8A"/>
    <w:rsid w:val="008631A5"/>
    <w:rsid w:val="008641C5"/>
    <w:rsid w:val="00864795"/>
    <w:rsid w:val="00867413"/>
    <w:rsid w:val="00870D39"/>
    <w:rsid w:val="008716F7"/>
    <w:rsid w:val="00872D3E"/>
    <w:rsid w:val="00877454"/>
    <w:rsid w:val="008957E5"/>
    <w:rsid w:val="00896435"/>
    <w:rsid w:val="008A0D4B"/>
    <w:rsid w:val="008B7ADD"/>
    <w:rsid w:val="008D5096"/>
    <w:rsid w:val="008E7804"/>
    <w:rsid w:val="008F4686"/>
    <w:rsid w:val="009061FA"/>
    <w:rsid w:val="00907D17"/>
    <w:rsid w:val="00914D43"/>
    <w:rsid w:val="00920523"/>
    <w:rsid w:val="00921250"/>
    <w:rsid w:val="009266B8"/>
    <w:rsid w:val="00930031"/>
    <w:rsid w:val="00937BD0"/>
    <w:rsid w:val="00941896"/>
    <w:rsid w:val="0095532A"/>
    <w:rsid w:val="00960667"/>
    <w:rsid w:val="009900B9"/>
    <w:rsid w:val="009B33A8"/>
    <w:rsid w:val="009C07CC"/>
    <w:rsid w:val="009C27BA"/>
    <w:rsid w:val="009C4805"/>
    <w:rsid w:val="009E634F"/>
    <w:rsid w:val="009F10BE"/>
    <w:rsid w:val="00A012EB"/>
    <w:rsid w:val="00A10D4A"/>
    <w:rsid w:val="00A145D4"/>
    <w:rsid w:val="00A14C16"/>
    <w:rsid w:val="00A152ED"/>
    <w:rsid w:val="00A412E2"/>
    <w:rsid w:val="00A4156C"/>
    <w:rsid w:val="00A439AC"/>
    <w:rsid w:val="00A51319"/>
    <w:rsid w:val="00A5354F"/>
    <w:rsid w:val="00A5708A"/>
    <w:rsid w:val="00A57E32"/>
    <w:rsid w:val="00A722DE"/>
    <w:rsid w:val="00A92FF8"/>
    <w:rsid w:val="00A96DDB"/>
    <w:rsid w:val="00AA362F"/>
    <w:rsid w:val="00AA3EF0"/>
    <w:rsid w:val="00AA4631"/>
    <w:rsid w:val="00AB04EE"/>
    <w:rsid w:val="00AB133B"/>
    <w:rsid w:val="00AC2B2C"/>
    <w:rsid w:val="00AD1897"/>
    <w:rsid w:val="00AD3080"/>
    <w:rsid w:val="00AE2CF4"/>
    <w:rsid w:val="00AF34C2"/>
    <w:rsid w:val="00B00978"/>
    <w:rsid w:val="00B01245"/>
    <w:rsid w:val="00B02615"/>
    <w:rsid w:val="00B06CA0"/>
    <w:rsid w:val="00B150EB"/>
    <w:rsid w:val="00B26243"/>
    <w:rsid w:val="00B32CED"/>
    <w:rsid w:val="00B35CAF"/>
    <w:rsid w:val="00B36BF8"/>
    <w:rsid w:val="00B36D36"/>
    <w:rsid w:val="00B41F31"/>
    <w:rsid w:val="00B63BC5"/>
    <w:rsid w:val="00B72D25"/>
    <w:rsid w:val="00B738D4"/>
    <w:rsid w:val="00B87D69"/>
    <w:rsid w:val="00BA2B8F"/>
    <w:rsid w:val="00BE1F9E"/>
    <w:rsid w:val="00BE34D5"/>
    <w:rsid w:val="00BE5446"/>
    <w:rsid w:val="00BF0B92"/>
    <w:rsid w:val="00BF3DE1"/>
    <w:rsid w:val="00BF522D"/>
    <w:rsid w:val="00C01C1B"/>
    <w:rsid w:val="00C0470B"/>
    <w:rsid w:val="00C11FD3"/>
    <w:rsid w:val="00C17480"/>
    <w:rsid w:val="00C20A50"/>
    <w:rsid w:val="00C31F6E"/>
    <w:rsid w:val="00C41DF8"/>
    <w:rsid w:val="00C43048"/>
    <w:rsid w:val="00C45739"/>
    <w:rsid w:val="00C47920"/>
    <w:rsid w:val="00C50408"/>
    <w:rsid w:val="00C50C0F"/>
    <w:rsid w:val="00C579C4"/>
    <w:rsid w:val="00C628CD"/>
    <w:rsid w:val="00C649D4"/>
    <w:rsid w:val="00C65271"/>
    <w:rsid w:val="00C76398"/>
    <w:rsid w:val="00C80C5F"/>
    <w:rsid w:val="00C87F28"/>
    <w:rsid w:val="00C948B6"/>
    <w:rsid w:val="00C94BCB"/>
    <w:rsid w:val="00C968EA"/>
    <w:rsid w:val="00C9740D"/>
    <w:rsid w:val="00CA1158"/>
    <w:rsid w:val="00CC1342"/>
    <w:rsid w:val="00CC593C"/>
    <w:rsid w:val="00CD7CE3"/>
    <w:rsid w:val="00CE2012"/>
    <w:rsid w:val="00CE7299"/>
    <w:rsid w:val="00CF236A"/>
    <w:rsid w:val="00D018B7"/>
    <w:rsid w:val="00D01E8E"/>
    <w:rsid w:val="00D04F69"/>
    <w:rsid w:val="00D169AC"/>
    <w:rsid w:val="00D16CE4"/>
    <w:rsid w:val="00D20B49"/>
    <w:rsid w:val="00D27A6B"/>
    <w:rsid w:val="00D27B27"/>
    <w:rsid w:val="00D30311"/>
    <w:rsid w:val="00D3371E"/>
    <w:rsid w:val="00D50463"/>
    <w:rsid w:val="00D50B2D"/>
    <w:rsid w:val="00D67F52"/>
    <w:rsid w:val="00D70340"/>
    <w:rsid w:val="00D73E25"/>
    <w:rsid w:val="00D83B43"/>
    <w:rsid w:val="00DA5018"/>
    <w:rsid w:val="00DB1101"/>
    <w:rsid w:val="00DB522D"/>
    <w:rsid w:val="00DB7721"/>
    <w:rsid w:val="00DC58DA"/>
    <w:rsid w:val="00DE41A6"/>
    <w:rsid w:val="00DF1448"/>
    <w:rsid w:val="00DF5446"/>
    <w:rsid w:val="00DF6D79"/>
    <w:rsid w:val="00E027B7"/>
    <w:rsid w:val="00E04F8E"/>
    <w:rsid w:val="00E06D65"/>
    <w:rsid w:val="00E237E2"/>
    <w:rsid w:val="00E23B39"/>
    <w:rsid w:val="00E37955"/>
    <w:rsid w:val="00E55075"/>
    <w:rsid w:val="00E55713"/>
    <w:rsid w:val="00E61D52"/>
    <w:rsid w:val="00E657EB"/>
    <w:rsid w:val="00E745E7"/>
    <w:rsid w:val="00E7644B"/>
    <w:rsid w:val="00E77A46"/>
    <w:rsid w:val="00E8397A"/>
    <w:rsid w:val="00E849BC"/>
    <w:rsid w:val="00E87F61"/>
    <w:rsid w:val="00EA5367"/>
    <w:rsid w:val="00EB49F8"/>
    <w:rsid w:val="00EB60C8"/>
    <w:rsid w:val="00EC0276"/>
    <w:rsid w:val="00ED27AB"/>
    <w:rsid w:val="00EE04B8"/>
    <w:rsid w:val="00EE603A"/>
    <w:rsid w:val="00EF026F"/>
    <w:rsid w:val="00EF1699"/>
    <w:rsid w:val="00EF7852"/>
    <w:rsid w:val="00F05651"/>
    <w:rsid w:val="00F25CE9"/>
    <w:rsid w:val="00F302BA"/>
    <w:rsid w:val="00F34084"/>
    <w:rsid w:val="00F35390"/>
    <w:rsid w:val="00F35D49"/>
    <w:rsid w:val="00F45290"/>
    <w:rsid w:val="00F74E6E"/>
    <w:rsid w:val="00F84D2B"/>
    <w:rsid w:val="00F85E7F"/>
    <w:rsid w:val="00F869B9"/>
    <w:rsid w:val="00F96B85"/>
    <w:rsid w:val="00FC05E4"/>
    <w:rsid w:val="00FC1590"/>
    <w:rsid w:val="00FC6D7C"/>
    <w:rsid w:val="00FD27F2"/>
    <w:rsid w:val="00FF556C"/>
    <w:rsid w:val="234B48DE"/>
    <w:rsid w:val="56E1D1F1"/>
    <w:rsid w:val="7ED740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2F67E"/>
  <w15:chartTrackingRefBased/>
  <w15:docId w15:val="{55A15283-5B99-D344-8492-D103FE98B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20"/>
    <w:pPr>
      <w:spacing w:line="259" w:lineRule="auto"/>
    </w:pPr>
    <w:rPr>
      <w:rFonts w:eastAsiaTheme="minorHAnsi"/>
      <w:kern w:val="0"/>
      <w:sz w:val="22"/>
      <w:szCs w:val="22"/>
      <w:lang w:eastAsia="en-US"/>
      <w14:ligatures w14:val="none"/>
    </w:rPr>
  </w:style>
  <w:style w:type="paragraph" w:styleId="Heading1">
    <w:name w:val="heading 1"/>
    <w:basedOn w:val="Normal"/>
    <w:next w:val="Normal"/>
    <w:link w:val="Heading1Char"/>
    <w:uiPriority w:val="9"/>
    <w:qFormat/>
    <w:rsid w:val="00C479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Heading1"/>
    <w:next w:val="Normal"/>
    <w:link w:val="Heading2Char"/>
    <w:uiPriority w:val="9"/>
    <w:unhideWhenUsed/>
    <w:qFormat/>
    <w:rsid w:val="004A335B"/>
    <w:pPr>
      <w:numPr>
        <w:ilvl w:val="3"/>
        <w:numId w:val="9"/>
      </w:numPr>
      <w:spacing w:before="160" w:line="278" w:lineRule="auto"/>
      <w:outlineLvl w:val="1"/>
    </w:pPr>
    <w:rPr>
      <w:rFonts w:ascii="Times New Roman" w:hAnsi="Times New Roman" w:cs="Times New Roman"/>
      <w:color w:val="auto"/>
      <w:sz w:val="28"/>
      <w:szCs w:val="28"/>
    </w:rPr>
  </w:style>
  <w:style w:type="paragraph" w:styleId="Heading3">
    <w:name w:val="heading 3"/>
    <w:basedOn w:val="ListParagraph"/>
    <w:next w:val="Normal"/>
    <w:link w:val="Heading3Char"/>
    <w:uiPriority w:val="9"/>
    <w:unhideWhenUsed/>
    <w:qFormat/>
    <w:rsid w:val="004A335B"/>
    <w:pPr>
      <w:numPr>
        <w:ilvl w:val="4"/>
        <w:numId w:val="9"/>
      </w:numPr>
      <w:spacing w:before="160" w:after="80" w:line="278" w:lineRule="auto"/>
      <w:contextualSpacing w:val="0"/>
      <w:outlineLvl w:val="2"/>
    </w:pPr>
    <w:rPr>
      <w:rFonts w:ascii="Times New Roman" w:hAnsi="Times New Roman" w:cs="Times New Roman"/>
      <w:i/>
      <w:iCs/>
      <w:sz w:val="24"/>
      <w:szCs w:val="24"/>
    </w:rPr>
  </w:style>
  <w:style w:type="paragraph" w:styleId="Heading4">
    <w:name w:val="heading 4"/>
    <w:basedOn w:val="ListParagraph"/>
    <w:next w:val="Normal"/>
    <w:link w:val="Heading4Char"/>
    <w:uiPriority w:val="9"/>
    <w:unhideWhenUsed/>
    <w:qFormat/>
    <w:rsid w:val="004A335B"/>
    <w:pPr>
      <w:numPr>
        <w:ilvl w:val="5"/>
        <w:numId w:val="9"/>
      </w:numPr>
      <w:spacing w:before="160" w:after="80" w:line="278" w:lineRule="auto"/>
      <w:contextualSpacing w:val="0"/>
      <w:outlineLvl w:val="3"/>
    </w:pPr>
    <w:rPr>
      <w:rFonts w:ascii="Times New Roman" w:hAnsi="Times New Roman" w:cs="Times New Roman"/>
      <w:sz w:val="24"/>
      <w:szCs w:val="24"/>
    </w:rPr>
  </w:style>
  <w:style w:type="paragraph" w:styleId="Heading5">
    <w:name w:val="heading 5"/>
    <w:basedOn w:val="Normal"/>
    <w:next w:val="Normal"/>
    <w:link w:val="Heading5Char"/>
    <w:uiPriority w:val="9"/>
    <w:semiHidden/>
    <w:unhideWhenUsed/>
    <w:qFormat/>
    <w:rsid w:val="00C479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79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79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79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79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9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A335B"/>
    <w:rPr>
      <w:rFonts w:ascii="Times New Roman" w:eastAsiaTheme="majorEastAsia" w:hAnsi="Times New Roman" w:cs="Times New Roman"/>
      <w:kern w:val="0"/>
      <w:sz w:val="28"/>
      <w:szCs w:val="28"/>
      <w:lang w:eastAsia="en-US"/>
      <w14:ligatures w14:val="none"/>
    </w:rPr>
  </w:style>
  <w:style w:type="character" w:customStyle="1" w:styleId="Heading3Char">
    <w:name w:val="Heading 3 Char"/>
    <w:basedOn w:val="DefaultParagraphFont"/>
    <w:link w:val="Heading3"/>
    <w:uiPriority w:val="9"/>
    <w:rsid w:val="004A335B"/>
    <w:rPr>
      <w:rFonts w:ascii="Times New Roman" w:eastAsiaTheme="minorHAnsi" w:hAnsi="Times New Roman" w:cs="Times New Roman"/>
      <w:i/>
      <w:iCs/>
      <w:kern w:val="0"/>
      <w:lang w:eastAsia="en-US"/>
      <w14:ligatures w14:val="none"/>
    </w:rPr>
  </w:style>
  <w:style w:type="character" w:customStyle="1" w:styleId="Heading4Char">
    <w:name w:val="Heading 4 Char"/>
    <w:basedOn w:val="DefaultParagraphFont"/>
    <w:link w:val="Heading4"/>
    <w:uiPriority w:val="9"/>
    <w:rsid w:val="004A335B"/>
    <w:rPr>
      <w:rFonts w:ascii="Times New Roman" w:eastAsiaTheme="minorHAnsi" w:hAnsi="Times New Roman" w:cs="Times New Roman"/>
      <w:kern w:val="0"/>
      <w:lang w:eastAsia="en-US"/>
      <w14:ligatures w14:val="none"/>
    </w:rPr>
  </w:style>
  <w:style w:type="character" w:customStyle="1" w:styleId="Heading5Char">
    <w:name w:val="Heading 5 Char"/>
    <w:basedOn w:val="DefaultParagraphFont"/>
    <w:link w:val="Heading5"/>
    <w:uiPriority w:val="9"/>
    <w:semiHidden/>
    <w:rsid w:val="00C479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79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79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79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7920"/>
    <w:rPr>
      <w:rFonts w:eastAsiaTheme="majorEastAsia" w:cstheme="majorBidi"/>
      <w:color w:val="272727" w:themeColor="text1" w:themeTint="D8"/>
    </w:rPr>
  </w:style>
  <w:style w:type="paragraph" w:styleId="Title">
    <w:name w:val="Title"/>
    <w:basedOn w:val="Normal"/>
    <w:next w:val="Normal"/>
    <w:link w:val="TitleChar"/>
    <w:uiPriority w:val="10"/>
    <w:qFormat/>
    <w:rsid w:val="00C47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79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79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79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7920"/>
    <w:pPr>
      <w:spacing w:before="160"/>
      <w:jc w:val="center"/>
    </w:pPr>
    <w:rPr>
      <w:i/>
      <w:iCs/>
      <w:color w:val="404040" w:themeColor="text1" w:themeTint="BF"/>
    </w:rPr>
  </w:style>
  <w:style w:type="character" w:customStyle="1" w:styleId="QuoteChar">
    <w:name w:val="Quote Char"/>
    <w:basedOn w:val="DefaultParagraphFont"/>
    <w:link w:val="Quote"/>
    <w:uiPriority w:val="29"/>
    <w:rsid w:val="00C47920"/>
    <w:rPr>
      <w:i/>
      <w:iCs/>
      <w:color w:val="404040" w:themeColor="text1" w:themeTint="BF"/>
    </w:rPr>
  </w:style>
  <w:style w:type="paragraph" w:styleId="ListParagraph">
    <w:name w:val="List Paragraph"/>
    <w:basedOn w:val="Normal"/>
    <w:uiPriority w:val="34"/>
    <w:qFormat/>
    <w:rsid w:val="00C47920"/>
    <w:pPr>
      <w:ind w:left="720"/>
      <w:contextualSpacing/>
    </w:pPr>
  </w:style>
  <w:style w:type="character" w:styleId="IntenseEmphasis">
    <w:name w:val="Intense Emphasis"/>
    <w:basedOn w:val="DefaultParagraphFont"/>
    <w:uiPriority w:val="21"/>
    <w:qFormat/>
    <w:rsid w:val="00C47920"/>
    <w:rPr>
      <w:i/>
      <w:iCs/>
      <w:color w:val="0F4761" w:themeColor="accent1" w:themeShade="BF"/>
    </w:rPr>
  </w:style>
  <w:style w:type="paragraph" w:styleId="IntenseQuote">
    <w:name w:val="Intense Quote"/>
    <w:basedOn w:val="Normal"/>
    <w:next w:val="Normal"/>
    <w:link w:val="IntenseQuoteChar"/>
    <w:uiPriority w:val="30"/>
    <w:qFormat/>
    <w:rsid w:val="00C47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7920"/>
    <w:rPr>
      <w:i/>
      <w:iCs/>
      <w:color w:val="0F4761" w:themeColor="accent1" w:themeShade="BF"/>
    </w:rPr>
  </w:style>
  <w:style w:type="character" w:styleId="IntenseReference">
    <w:name w:val="Intense Reference"/>
    <w:basedOn w:val="DefaultParagraphFont"/>
    <w:uiPriority w:val="32"/>
    <w:qFormat/>
    <w:rsid w:val="00C47920"/>
    <w:rPr>
      <w:b/>
      <w:bCs/>
      <w:smallCaps/>
      <w:color w:val="0F4761" w:themeColor="accent1" w:themeShade="BF"/>
      <w:spacing w:val="5"/>
    </w:rPr>
  </w:style>
  <w:style w:type="paragraph" w:styleId="Header">
    <w:name w:val="header"/>
    <w:basedOn w:val="Normal"/>
    <w:link w:val="HeaderChar"/>
    <w:uiPriority w:val="99"/>
    <w:unhideWhenUsed/>
    <w:rsid w:val="006C1F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FF6"/>
    <w:rPr>
      <w:rFonts w:eastAsiaTheme="minorHAnsi"/>
      <w:kern w:val="0"/>
      <w:sz w:val="22"/>
      <w:szCs w:val="22"/>
      <w:lang w:eastAsia="en-US"/>
      <w14:ligatures w14:val="none"/>
    </w:rPr>
  </w:style>
  <w:style w:type="paragraph" w:styleId="Footer">
    <w:name w:val="footer"/>
    <w:basedOn w:val="Normal"/>
    <w:link w:val="FooterChar"/>
    <w:uiPriority w:val="99"/>
    <w:unhideWhenUsed/>
    <w:rsid w:val="006C1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FF6"/>
    <w:rPr>
      <w:rFonts w:eastAsiaTheme="minorHAnsi"/>
      <w:kern w:val="0"/>
      <w:sz w:val="22"/>
      <w:szCs w:val="22"/>
      <w:lang w:eastAsia="en-US"/>
      <w14:ligatures w14:val="none"/>
    </w:rPr>
  </w:style>
  <w:style w:type="character" w:styleId="PageNumber">
    <w:name w:val="page number"/>
    <w:basedOn w:val="DefaultParagraphFont"/>
    <w:uiPriority w:val="99"/>
    <w:semiHidden/>
    <w:unhideWhenUsed/>
    <w:rsid w:val="006C1FF6"/>
  </w:style>
  <w:style w:type="paragraph" w:styleId="Revision">
    <w:name w:val="Revision"/>
    <w:hidden/>
    <w:uiPriority w:val="99"/>
    <w:semiHidden/>
    <w:rsid w:val="00245DB4"/>
    <w:pPr>
      <w:spacing w:after="0" w:line="240" w:lineRule="auto"/>
    </w:pPr>
    <w:rPr>
      <w:rFonts w:eastAsiaTheme="minorHAnsi"/>
      <w:kern w:val="0"/>
      <w:sz w:val="22"/>
      <w:szCs w:val="22"/>
      <w:lang w:eastAsia="en-US"/>
      <w14:ligatures w14:val="none"/>
    </w:rPr>
  </w:style>
  <w:style w:type="character" w:styleId="CommentReference">
    <w:name w:val="annotation reference"/>
    <w:basedOn w:val="DefaultParagraphFont"/>
    <w:uiPriority w:val="99"/>
    <w:semiHidden/>
    <w:unhideWhenUsed/>
    <w:rsid w:val="00003B4A"/>
    <w:rPr>
      <w:sz w:val="16"/>
      <w:szCs w:val="16"/>
    </w:rPr>
  </w:style>
  <w:style w:type="paragraph" w:styleId="CommentText">
    <w:name w:val="annotation text"/>
    <w:basedOn w:val="Normal"/>
    <w:link w:val="CommentTextChar"/>
    <w:uiPriority w:val="99"/>
    <w:unhideWhenUsed/>
    <w:rsid w:val="00003B4A"/>
    <w:pPr>
      <w:spacing w:line="240" w:lineRule="auto"/>
    </w:pPr>
    <w:rPr>
      <w:sz w:val="20"/>
      <w:szCs w:val="20"/>
    </w:rPr>
  </w:style>
  <w:style w:type="character" w:customStyle="1" w:styleId="CommentTextChar">
    <w:name w:val="Comment Text Char"/>
    <w:basedOn w:val="DefaultParagraphFont"/>
    <w:link w:val="CommentText"/>
    <w:uiPriority w:val="99"/>
    <w:rsid w:val="00003B4A"/>
    <w:rPr>
      <w:rFonts w:eastAsiaTheme="minorHAnsi"/>
      <w:kern w:val="0"/>
      <w:sz w:val="20"/>
      <w:szCs w:val="20"/>
      <w:lang w:eastAsia="en-US"/>
      <w14:ligatures w14:val="none"/>
    </w:rPr>
  </w:style>
  <w:style w:type="paragraph" w:styleId="CommentSubject">
    <w:name w:val="annotation subject"/>
    <w:basedOn w:val="CommentText"/>
    <w:next w:val="CommentText"/>
    <w:link w:val="CommentSubjectChar"/>
    <w:uiPriority w:val="99"/>
    <w:semiHidden/>
    <w:unhideWhenUsed/>
    <w:rsid w:val="00003B4A"/>
    <w:rPr>
      <w:b/>
      <w:bCs/>
    </w:rPr>
  </w:style>
  <w:style w:type="character" w:customStyle="1" w:styleId="CommentSubjectChar">
    <w:name w:val="Comment Subject Char"/>
    <w:basedOn w:val="CommentTextChar"/>
    <w:link w:val="CommentSubject"/>
    <w:uiPriority w:val="99"/>
    <w:semiHidden/>
    <w:rsid w:val="00003B4A"/>
    <w:rPr>
      <w:rFonts w:eastAsiaTheme="minorHAnsi"/>
      <w:b/>
      <w:bCs/>
      <w:kern w:val="0"/>
      <w:sz w:val="20"/>
      <w:szCs w:val="20"/>
      <w:lang w:eastAsia="en-US"/>
      <w14:ligatures w14:val="none"/>
    </w:rPr>
  </w:style>
  <w:style w:type="character" w:styleId="Hyperlink">
    <w:name w:val="Hyperlink"/>
    <w:basedOn w:val="DefaultParagraphFont"/>
    <w:uiPriority w:val="99"/>
    <w:unhideWhenUsed/>
    <w:rsid w:val="234B48DE"/>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fda.gov/files/drugs/published/Portable-Document-Format-Specification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6675fd5-4a21-4f69-8840-09a50681c69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5E5E0C4573294D8B79BBB127761BB1" ma:contentTypeVersion="11" ma:contentTypeDescription="Create a new document." ma:contentTypeScope="" ma:versionID="316f8801fdf7ad318f96d2ddf1ad8fec">
  <xsd:schema xmlns:xsd="http://www.w3.org/2001/XMLSchema" xmlns:xs="http://www.w3.org/2001/XMLSchema" xmlns:p="http://schemas.microsoft.com/office/2006/metadata/properties" xmlns:ns2="26675fd5-4a21-4f69-8840-09a50681c698" targetNamespace="http://schemas.microsoft.com/office/2006/metadata/properties" ma:root="true" ma:fieldsID="b9c35720d82e80fe78f75de4d79b724b" ns2:_="">
    <xsd:import namespace="26675fd5-4a21-4f69-8840-09a50681c6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675fd5-4a21-4f69-8840-09a50681c6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ff210b-1a75-4f95-bf42-e73e2711a7c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F21057-22CA-4C69-A67B-23EA78B91E81}">
  <ds:schemaRefs>
    <ds:schemaRef ds:uri="http://purl.org/dc/elements/1.1/"/>
    <ds:schemaRef ds:uri="http://schemas.microsoft.com/office/2006/metadata/properties"/>
    <ds:schemaRef ds:uri="http://purl.org/dc/terms/"/>
    <ds:schemaRef ds:uri="http://purl.org/dc/dcmitype/"/>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26675fd5-4a21-4f69-8840-09a50681c698"/>
  </ds:schemaRefs>
</ds:datastoreItem>
</file>

<file path=customXml/itemProps2.xml><?xml version="1.0" encoding="utf-8"?>
<ds:datastoreItem xmlns:ds="http://schemas.openxmlformats.org/officeDocument/2006/customXml" ds:itemID="{0BDCB2DB-2A74-4DB5-9AD7-CCB7F74A9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675fd5-4a21-4f69-8840-09a50681c6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FCB9722-531E-4D36-9815-47E158BE48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3595</Words>
  <Characters>20494</Characters>
  <Application>Microsoft Office Word</Application>
  <DocSecurity>0</DocSecurity>
  <Lines>170</Lines>
  <Paragraphs>48</Paragraphs>
  <ScaleCrop>false</ScaleCrop>
  <Company/>
  <LinksUpToDate>false</LinksUpToDate>
  <CharactersWithSpaces>24041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Karen</dc:creator>
  <cp:keywords/>
  <dc:description/>
  <cp:lastModifiedBy>Clark, Karen</cp:lastModifiedBy>
  <cp:revision>76</cp:revision>
  <dcterms:created xsi:type="dcterms:W3CDTF">2025-06-25T18:29:00Z</dcterms:created>
  <dcterms:modified xsi:type="dcterms:W3CDTF">2025-12-03T19:41:00Z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0x010100EF5E5E0C4573294D8B79BBB127761BB1</vt:lpwstr>
  </property>
  <property fmtid="{D5CDD505-2E9C-101B-9397-08002B2CF9AE}" pid="3" name="MediaServiceImageTags">
    <vt:lpwstr/>
  </property>
</Properties>
</file>