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B6B7" w14:textId="77777777" w:rsidR="003725FC" w:rsidRDefault="003725FC" w:rsidP="00A9150B">
      <w:pPr>
        <w:spacing w:line="480" w:lineRule="auto"/>
        <w:rPr>
          <w:rFonts w:ascii="Times New Roman" w:eastAsia="Times New Roman" w:hAnsi="Times New Roman" w:cs="Times New Roman"/>
        </w:rPr>
      </w:pPr>
    </w:p>
    <w:p w14:paraId="0046EB54" w14:textId="3A89BA04" w:rsidR="00A1755A" w:rsidRDefault="00A1755A" w:rsidP="00A9150B">
      <w:pPr>
        <w:spacing w:line="48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Editing Efficiency</w:t>
      </w:r>
      <w:r w:rsidR="007940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of in vitro Experiments</w:t>
      </w:r>
    </w:p>
    <w:p w14:paraId="50B1F2EF" w14:textId="77777777" w:rsidR="005E5040" w:rsidRDefault="005E5040" w:rsidP="00A9150B">
      <w:pPr>
        <w:spacing w:line="48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147971EF" w14:textId="77777777" w:rsidR="005E5040" w:rsidRPr="002D7F52" w:rsidRDefault="005E5040" w:rsidP="00A9150B">
      <w:pPr>
        <w:spacing w:line="48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2D7F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Primary cultures of rhesus airway epithelia. </w:t>
      </w:r>
    </w:p>
    <w:p w14:paraId="1214A71B" w14:textId="55C19F9A" w:rsidR="005E5040" w:rsidRPr="002D7F52" w:rsidRDefault="005E5040" w:rsidP="00A9150B">
      <w:pPr>
        <w:spacing w:line="48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2D7F52">
        <w:rPr>
          <w:rFonts w:ascii="Times New Roman" w:hAnsi="Times New Roman" w:cs="Times New Roman"/>
          <w:color w:val="000000" w:themeColor="text1"/>
        </w:rPr>
        <w:t xml:space="preserve">Primary </w:t>
      </w:r>
      <w:r>
        <w:rPr>
          <w:rFonts w:ascii="Times New Roman" w:hAnsi="Times New Roman" w:cs="Times New Roman"/>
          <w:color w:val="000000" w:themeColor="text1"/>
        </w:rPr>
        <w:t>rhesus macaque</w:t>
      </w:r>
      <w:r w:rsidRPr="002D7F52">
        <w:rPr>
          <w:rFonts w:ascii="Times New Roman" w:hAnsi="Times New Roman" w:cs="Times New Roman"/>
          <w:color w:val="000000" w:themeColor="text1"/>
        </w:rPr>
        <w:t xml:space="preserve"> airway epithelial cells </w:t>
      </w:r>
      <w:r>
        <w:rPr>
          <w:rFonts w:ascii="Times New Roman" w:hAnsi="Times New Roman" w:cs="Times New Roman"/>
          <w:color w:val="000000" w:themeColor="text1"/>
        </w:rPr>
        <w:t xml:space="preserve">were isolated from </w:t>
      </w:r>
      <w:proofErr w:type="gramStart"/>
      <w:r>
        <w:rPr>
          <w:rFonts w:ascii="Times New Roman" w:hAnsi="Times New Roman" w:cs="Times New Roman"/>
          <w:color w:val="000000" w:themeColor="text1"/>
        </w:rPr>
        <w:t>post mortem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tracheal tissues provided by the Tulane National Primate Research Center, Covington, LA. Cultures were prepared in </w:t>
      </w:r>
      <w:r w:rsidRPr="002D7F52">
        <w:rPr>
          <w:rFonts w:ascii="Times New Roman" w:hAnsi="Times New Roman" w:cs="Times New Roman"/>
          <w:color w:val="000000" w:themeColor="text1"/>
        </w:rPr>
        <w:t xml:space="preserve">the University of Iowa’s In Vitro Models and Cell </w:t>
      </w:r>
      <w:r w:rsidRPr="005E5040">
        <w:rPr>
          <w:rFonts w:ascii="Times New Roman" w:hAnsi="Times New Roman" w:cs="Times New Roman"/>
          <w:color w:val="000000" w:themeColor="text1"/>
        </w:rPr>
        <w:t xml:space="preserve">Culture Core. Primary rhesus airway epithelia isolated from donor trachea or bronchi were grown at the air-liquid interface on collagen coated Costar </w:t>
      </w:r>
      <w:proofErr w:type="spellStart"/>
      <w:r w:rsidRPr="005E5040">
        <w:rPr>
          <w:rFonts w:ascii="Times New Roman" w:hAnsi="Times New Roman" w:cs="Times New Roman"/>
          <w:color w:val="000000" w:themeColor="text1"/>
        </w:rPr>
        <w:t>Transwell</w:t>
      </w:r>
      <w:proofErr w:type="spellEnd"/>
      <w:r w:rsidRPr="005E5040">
        <w:rPr>
          <w:rFonts w:ascii="Times New Roman" w:hAnsi="Times New Roman" w:cs="Times New Roman"/>
          <w:color w:val="000000" w:themeColor="text1"/>
        </w:rPr>
        <w:t xml:space="preserve"> polycarbonate filters (#CLS3413, 0.3 µm</w:t>
      </w:r>
      <w:r w:rsidRPr="005E5040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5E5040">
        <w:rPr>
          <w:rFonts w:ascii="Times New Roman" w:hAnsi="Times New Roman" w:cs="Times New Roman"/>
          <w:color w:val="000000" w:themeColor="text1"/>
        </w:rPr>
        <w:t xml:space="preserve"> surface area) as reported previously. Cultures were maintained in media supplemented with </w:t>
      </w:r>
      <w:proofErr w:type="spellStart"/>
      <w:r w:rsidRPr="005E5040">
        <w:rPr>
          <w:rFonts w:ascii="Times New Roman" w:hAnsi="Times New Roman" w:cs="Times New Roman"/>
          <w:color w:val="000000" w:themeColor="text1"/>
        </w:rPr>
        <w:t>Ultro</w:t>
      </w:r>
      <w:proofErr w:type="spellEnd"/>
      <w:r w:rsidRPr="005E5040">
        <w:rPr>
          <w:rFonts w:ascii="Times New Roman" w:hAnsi="Times New Roman" w:cs="Times New Roman"/>
          <w:color w:val="000000" w:themeColor="text1"/>
        </w:rPr>
        <w:t xml:space="preserve">-ser G (USG) and the following antibiotics: penicillin (50 units/ml), streptomycin (50 </w:t>
      </w:r>
      <w:proofErr w:type="spellStart"/>
      <w:r w:rsidRPr="005E5040">
        <w:rPr>
          <w:rFonts w:ascii="Times New Roman" w:hAnsi="Times New Roman" w:cs="Times New Roman"/>
          <w:color w:val="000000" w:themeColor="text1"/>
        </w:rPr>
        <w:t>μg</w:t>
      </w:r>
      <w:proofErr w:type="spellEnd"/>
      <w:r w:rsidRPr="005E5040">
        <w:rPr>
          <w:rFonts w:ascii="Times New Roman" w:hAnsi="Times New Roman" w:cs="Times New Roman"/>
          <w:color w:val="000000" w:themeColor="text1"/>
        </w:rPr>
        <w:t>/ml). The cultured cells were maintained at 37°C in 5% CO</w:t>
      </w:r>
      <w:r w:rsidRPr="005E5040">
        <w:rPr>
          <w:rFonts w:ascii="Times New Roman" w:hAnsi="Times New Roman" w:cs="Times New Roman"/>
          <w:color w:val="000000" w:themeColor="text1"/>
          <w:vertAlign w:val="subscript"/>
        </w:rPr>
        <w:t xml:space="preserve">2.  </w:t>
      </w:r>
      <w:r w:rsidRPr="005E5040">
        <w:rPr>
          <w:rFonts w:ascii="Times New Roman" w:hAnsi="Times New Roman" w:cs="Times New Roman"/>
          <w:color w:val="000000" w:themeColor="text1"/>
        </w:rPr>
        <w:t>All primary epithelial cells were well-differentiated (&gt;4 weeks old).</w:t>
      </w:r>
      <w:r w:rsidRPr="002D7F52">
        <w:rPr>
          <w:rFonts w:ascii="Times New Roman" w:hAnsi="Times New Roman" w:cs="Times New Roman"/>
          <w:color w:val="000000" w:themeColor="text1"/>
        </w:rPr>
        <w:t xml:space="preserve"> </w:t>
      </w:r>
    </w:p>
    <w:p w14:paraId="3D5B8303" w14:textId="77777777" w:rsidR="005E5040" w:rsidRDefault="005E5040" w:rsidP="00A9150B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7ABDD983" w14:textId="77777777" w:rsidR="005E5040" w:rsidRPr="00C651E3" w:rsidRDefault="005E5040" w:rsidP="00A9150B">
      <w:pPr>
        <w:spacing w:line="48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59127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ABE8e-Cas9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651E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RNP formulation and application to cultured epithelia.</w:t>
      </w:r>
    </w:p>
    <w:p w14:paraId="604E651C" w14:textId="6CA8BF30" w:rsidR="005E5040" w:rsidRPr="009128B5" w:rsidRDefault="005E5040" w:rsidP="00A9150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Candidate guide RNAs targeting the rhesus CCR5 gene were screened in rhesus skin fibroblasts. The g</w:t>
      </w:r>
      <w:r w:rsidRPr="00C651E3">
        <w:rPr>
          <w:rFonts w:ascii="Times New Roman" w:hAnsi="Times New Roman" w:cs="Times New Roman"/>
          <w:color w:val="000000" w:themeColor="text1"/>
        </w:rPr>
        <w:t xml:space="preserve">uide RNA (gRNA) was prepared by combining the crRNA (IDT) and </w:t>
      </w:r>
      <w:proofErr w:type="spellStart"/>
      <w:r w:rsidRPr="00C651E3">
        <w:rPr>
          <w:rFonts w:ascii="Times New Roman" w:hAnsi="Times New Roman" w:cs="Times New Roman"/>
          <w:color w:val="000000" w:themeColor="text1"/>
        </w:rPr>
        <w:t>tracrRNA</w:t>
      </w:r>
      <w:proofErr w:type="spellEnd"/>
      <w:r w:rsidRPr="00C651E3">
        <w:rPr>
          <w:rFonts w:ascii="Times New Roman" w:hAnsi="Times New Roman" w:cs="Times New Roman"/>
          <w:color w:val="000000" w:themeColor="text1"/>
        </w:rPr>
        <w:t xml:space="preserve"> (IDT, Coralville, IA, catalog #1072532) at equimolar concentrations (100 µM), annealing at 95°C for 5 min and renaturation at room temperature</w:t>
      </w:r>
      <w:r>
        <w:rPr>
          <w:rFonts w:ascii="Times New Roman" w:hAnsi="Times New Roman" w:cs="Times New Roman"/>
          <w:color w:val="000000" w:themeColor="text1"/>
        </w:rPr>
        <w:t xml:space="preserve"> as described previously</w:t>
      </w:r>
      <w:r w:rsidRPr="005E5040">
        <w:rPr>
          <w:rFonts w:ascii="Times New Roman" w:hAnsi="Times New Roman" w:cs="Times New Roman"/>
          <w:color w:val="000000" w:themeColor="text1"/>
        </w:rPr>
        <w:t xml:space="preserve">. The RNP was prepared by combining the gRNA and recombinant ABE8e-Cas9 protein in PBS, and incubating at room temperature for 15-20 min. The final concentration of gRNA was 26 µM and </w:t>
      </w:r>
      <w:r w:rsidRPr="005E5040">
        <w:rPr>
          <w:rFonts w:ascii="Times New Roman" w:eastAsia="Times New Roman" w:hAnsi="Times New Roman" w:cs="Times New Roman"/>
          <w:color w:val="000000"/>
        </w:rPr>
        <w:t>ABE8e-Cas9</w:t>
      </w:r>
      <w:r w:rsidRPr="005E5040">
        <w:rPr>
          <w:rFonts w:ascii="Times New Roman" w:hAnsi="Times New Roman" w:cs="Times New Roman"/>
          <w:color w:val="000000" w:themeColor="text1"/>
        </w:rPr>
        <w:t xml:space="preserve"> was 11 µM in a total volume of 10 ml RNP. </w:t>
      </w:r>
    </w:p>
    <w:p w14:paraId="633768D2" w14:textId="77777777" w:rsidR="00BF1159" w:rsidRDefault="00BF1159" w:rsidP="00A9150B">
      <w:pPr>
        <w:spacing w:line="48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58009FF9" w14:textId="3EBC91F0" w:rsidR="00794036" w:rsidRPr="006656AC" w:rsidRDefault="00794036" w:rsidP="00A9150B">
      <w:pPr>
        <w:spacing w:line="48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Next Generation Sequencing</w:t>
      </w:r>
      <w:r w:rsidRPr="006656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and analysis. </w:t>
      </w:r>
    </w:p>
    <w:p w14:paraId="2B05FDC8" w14:textId="0958BA7B" w:rsidR="00794036" w:rsidRPr="006656AC" w:rsidRDefault="00794036" w:rsidP="00A9150B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G</w:t>
      </w:r>
      <w:r w:rsidRPr="006656AC">
        <w:rPr>
          <w:rFonts w:ascii="Times New Roman" w:hAnsi="Times New Roman" w:cs="Times New Roman"/>
          <w:color w:val="000000" w:themeColor="text1"/>
        </w:rPr>
        <w:t xml:space="preserve">enomic DNA was isolated </w:t>
      </w:r>
      <w:r>
        <w:rPr>
          <w:rFonts w:ascii="Times New Roman" w:hAnsi="Times New Roman" w:cs="Times New Roman"/>
          <w:color w:val="000000" w:themeColor="text1"/>
        </w:rPr>
        <w:t xml:space="preserve">from the cells </w:t>
      </w:r>
      <w:r w:rsidRPr="006656AC">
        <w:rPr>
          <w:rFonts w:ascii="Times New Roman" w:hAnsi="Times New Roman" w:cs="Times New Roman"/>
          <w:color w:val="000000" w:themeColor="text1"/>
        </w:rPr>
        <w:t xml:space="preserve">using </w:t>
      </w:r>
      <w:proofErr w:type="spellStart"/>
      <w:r w:rsidRPr="006656AC">
        <w:rPr>
          <w:rFonts w:ascii="Times New Roman" w:hAnsi="Times New Roman" w:cs="Times New Roman"/>
          <w:color w:val="000000" w:themeColor="text1"/>
        </w:rPr>
        <w:t>QuickExtract</w:t>
      </w:r>
      <w:proofErr w:type="spellEnd"/>
      <w:r w:rsidRPr="006656AC">
        <w:rPr>
          <w:rFonts w:ascii="Times New Roman" w:hAnsi="Times New Roman" w:cs="Times New Roman"/>
          <w:color w:val="000000" w:themeColor="text1"/>
        </w:rPr>
        <w:t xml:space="preserve"> (catalog #QE09050, </w:t>
      </w:r>
      <w:proofErr w:type="spellStart"/>
      <w:r w:rsidRPr="006656AC">
        <w:rPr>
          <w:rFonts w:ascii="Times New Roman" w:hAnsi="Times New Roman" w:cs="Times New Roman"/>
          <w:color w:val="000000" w:themeColor="text1"/>
        </w:rPr>
        <w:t>Lucigen</w:t>
      </w:r>
      <w:proofErr w:type="spellEnd"/>
      <w:r w:rsidRPr="006656AC">
        <w:rPr>
          <w:rFonts w:ascii="Times New Roman" w:hAnsi="Times New Roman" w:cs="Times New Roman"/>
          <w:color w:val="000000" w:themeColor="text1"/>
        </w:rPr>
        <w:t xml:space="preserve">, Middleton, WI) according to the manufacturer’s protocol. The </w:t>
      </w:r>
      <w:r>
        <w:rPr>
          <w:rFonts w:ascii="Times New Roman" w:hAnsi="Times New Roman" w:cs="Times New Roman"/>
          <w:color w:val="000000" w:themeColor="text1"/>
        </w:rPr>
        <w:t>target locus was</w:t>
      </w:r>
      <w:r w:rsidRPr="006656AC">
        <w:rPr>
          <w:rFonts w:ascii="Times New Roman" w:hAnsi="Times New Roman" w:cs="Times New Roman"/>
          <w:color w:val="000000" w:themeColor="text1"/>
        </w:rPr>
        <w:t xml:space="preserve"> PCR amplified (KAPA DNA polymerase, Roche, Basel, Switzerland)) using primers </w:t>
      </w:r>
      <w:r>
        <w:rPr>
          <w:rFonts w:ascii="Times New Roman" w:hAnsi="Times New Roman" w:cs="Times New Roman"/>
          <w:color w:val="000000" w:themeColor="text1"/>
        </w:rPr>
        <w:t>designed to the</w:t>
      </w:r>
      <w:r w:rsidRPr="006656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rhesus</w:t>
      </w:r>
      <w:r w:rsidRPr="006656AC">
        <w:rPr>
          <w:rFonts w:ascii="Times New Roman" w:hAnsi="Times New Roman" w:cs="Times New Roman"/>
          <w:color w:val="000000" w:themeColor="text1"/>
        </w:rPr>
        <w:t xml:space="preserve"> </w:t>
      </w:r>
      <w:r w:rsidRPr="006656AC">
        <w:rPr>
          <w:rFonts w:ascii="Times New Roman" w:hAnsi="Times New Roman" w:cs="Times New Roman"/>
          <w:i/>
          <w:iCs/>
          <w:color w:val="000000" w:themeColor="text1"/>
        </w:rPr>
        <w:t>CCR5</w:t>
      </w:r>
      <w:r>
        <w:rPr>
          <w:rFonts w:ascii="Times New Roman" w:hAnsi="Times New Roman" w:cs="Times New Roman"/>
          <w:color w:val="000000" w:themeColor="text1"/>
        </w:rPr>
        <w:t xml:space="preserve"> locus</w:t>
      </w:r>
      <w:r w:rsidRPr="006656AC">
        <w:rPr>
          <w:rFonts w:ascii="Times New Roman" w:hAnsi="Times New Roman" w:cs="Times New Roman"/>
          <w:color w:val="000000" w:themeColor="text1"/>
        </w:rPr>
        <w:t xml:space="preserve"> and the appropriate Illumina forward and reverse adaptors as described </w:t>
      </w:r>
      <w:r w:rsidRPr="0029729D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t</w:t>
      </w:r>
      <w:r w:rsidRPr="0029729D">
        <w:rPr>
          <w:rFonts w:ascii="Times New Roman" w:hAnsi="Times New Roman" w:cs="Times New Roman"/>
          <w:color w:val="000000" w:themeColor="text1"/>
        </w:rPr>
        <w:t>able below).</w:t>
      </w:r>
      <w:r w:rsidRPr="006656AC">
        <w:rPr>
          <w:rFonts w:ascii="Times New Roman" w:hAnsi="Times New Roman" w:cs="Times New Roman"/>
          <w:color w:val="000000" w:themeColor="text1"/>
        </w:rPr>
        <w:t xml:space="preserve"> Unique Illumina barcoding primer pairs were then added to each sample in a second PCR reaction. Purified PCR products </w:t>
      </w:r>
      <w:r>
        <w:rPr>
          <w:rFonts w:ascii="Times New Roman" w:hAnsi="Times New Roman" w:cs="Times New Roman"/>
          <w:color w:val="000000" w:themeColor="text1"/>
        </w:rPr>
        <w:t xml:space="preserve">next </w:t>
      </w:r>
      <w:r w:rsidRPr="006656AC">
        <w:rPr>
          <w:rFonts w:ascii="Times New Roman" w:hAnsi="Times New Roman" w:cs="Times New Roman"/>
          <w:color w:val="000000" w:themeColor="text1"/>
        </w:rPr>
        <w:t xml:space="preserve">quantified and sequenced using a </w:t>
      </w:r>
      <w:proofErr w:type="gramStart"/>
      <w:r w:rsidRPr="006656AC">
        <w:rPr>
          <w:rFonts w:ascii="Times New Roman" w:hAnsi="Times New Roman" w:cs="Times New Roman"/>
          <w:color w:val="000000" w:themeColor="text1"/>
        </w:rPr>
        <w:t>single-end</w:t>
      </w:r>
      <w:proofErr w:type="gramEnd"/>
      <w:r w:rsidRPr="006656AC">
        <w:rPr>
          <w:rFonts w:ascii="Times New Roman" w:hAnsi="Times New Roman" w:cs="Times New Roman"/>
          <w:color w:val="000000" w:themeColor="text1"/>
        </w:rPr>
        <w:t xml:space="preserve"> read of 200-250 bases on the Illumina </w:t>
      </w:r>
      <w:proofErr w:type="spellStart"/>
      <w:r w:rsidRPr="006656AC">
        <w:rPr>
          <w:rFonts w:ascii="Times New Roman" w:hAnsi="Times New Roman" w:cs="Times New Roman"/>
          <w:color w:val="000000" w:themeColor="text1"/>
        </w:rPr>
        <w:t>MiSeq</w:t>
      </w:r>
      <w:proofErr w:type="spellEnd"/>
      <w:r w:rsidRPr="006656AC">
        <w:rPr>
          <w:rFonts w:ascii="Times New Roman" w:hAnsi="Times New Roman" w:cs="Times New Roman"/>
          <w:color w:val="000000" w:themeColor="text1"/>
        </w:rPr>
        <w:t xml:space="preserve"> instrument using the manufacturer’s protocols. Following high throughput sequencing (HTS), the sequencing reads were demultiplexed using </w:t>
      </w:r>
      <w:proofErr w:type="spellStart"/>
      <w:r w:rsidRPr="006656AC">
        <w:rPr>
          <w:rFonts w:ascii="Times New Roman" w:hAnsi="Times New Roman" w:cs="Times New Roman"/>
          <w:color w:val="000000" w:themeColor="text1"/>
        </w:rPr>
        <w:t>MiSeq</w:t>
      </w:r>
      <w:proofErr w:type="spellEnd"/>
      <w:r w:rsidRPr="006656AC">
        <w:rPr>
          <w:rFonts w:ascii="Times New Roman" w:hAnsi="Times New Roman" w:cs="Times New Roman"/>
          <w:color w:val="000000" w:themeColor="text1"/>
        </w:rPr>
        <w:t xml:space="preserve"> Reporter (Illumina) and aligned to the appropriate reference genome as previously reporte</w:t>
      </w:r>
      <w:r>
        <w:rPr>
          <w:rFonts w:ascii="Times New Roman" w:hAnsi="Times New Roman" w:cs="Times New Roman"/>
          <w:color w:val="000000" w:themeColor="text1"/>
        </w:rPr>
        <w:t>r</w:t>
      </w:r>
      <w:r w:rsidRPr="006656AC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Base substitution and indel </w:t>
      </w:r>
      <w:r w:rsidRPr="006656AC">
        <w:rPr>
          <w:rFonts w:ascii="Times New Roman" w:hAnsi="Times New Roman" w:cs="Times New Roman"/>
          <w:color w:val="000000" w:themeColor="text1"/>
          <w:shd w:val="clear" w:color="auto" w:fill="FFFFFF"/>
        </w:rPr>
        <w:t>frequencies were assessed using the software package CRISPResso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6656AC">
        <w:rPr>
          <w:rFonts w:ascii="Times New Roman" w:hAnsi="Times New Roman" w:cs="Times New Roman"/>
          <w:color w:val="000000" w:themeColor="text1"/>
          <w:shd w:val="clear" w:color="auto" w:fill="FFFFFF"/>
        </w:rPr>
        <w:t>, which counts indels of ≥1 base occurring in a 30-base window around the ABE nicking site. Indels were defined as detectable if there is a significant difference (Student’s two-tailed</w:t>
      </w:r>
      <w:r w:rsidRPr="006656A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6656AC">
        <w:rPr>
          <w:rFonts w:ascii="Times New Roman" w:hAnsi="Times New Roman" w:cs="Times New Roman"/>
          <w:i/>
          <w:iCs/>
          <w:color w:val="000000" w:themeColor="text1"/>
        </w:rPr>
        <w:t>t</w:t>
      </w:r>
      <w:r w:rsidRPr="006656AC">
        <w:rPr>
          <w:rFonts w:ascii="Times New Roman" w:hAnsi="Times New Roman" w:cs="Times New Roman"/>
          <w:color w:val="000000" w:themeColor="text1"/>
          <w:shd w:val="clear" w:color="auto" w:fill="FFFFFF"/>
        </w:rPr>
        <w:t>-test,</w:t>
      </w:r>
      <w:r w:rsidRPr="006656A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6656AC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6656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 &lt; 0.05) between indel formation in the treated sample and untreated control. Base editing frequencies were further assessed using a previously described MATLAB script. </w:t>
      </w:r>
      <w:r w:rsidRPr="006656AC">
        <w:rPr>
          <w:rFonts w:ascii="Times New Roman" w:hAnsi="Times New Roman" w:cs="Times New Roman"/>
          <w:color w:val="000000" w:themeColor="text1"/>
        </w:rPr>
        <w:t xml:space="preserve">For each </w:t>
      </w:r>
      <w:r>
        <w:rPr>
          <w:rFonts w:ascii="Times New Roman" w:hAnsi="Times New Roman" w:cs="Times New Roman"/>
          <w:i/>
          <w:color w:val="000000" w:themeColor="text1"/>
        </w:rPr>
        <w:t>CCR5</w:t>
      </w:r>
      <w:r w:rsidRPr="006656A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modification</w:t>
      </w:r>
      <w:r w:rsidRPr="006656AC">
        <w:rPr>
          <w:rFonts w:ascii="Times New Roman" w:hAnsi="Times New Roman" w:cs="Times New Roman"/>
          <w:color w:val="000000" w:themeColor="text1"/>
        </w:rPr>
        <w:t xml:space="preserve"> we determined the target base editing frequencies, bystander edits, and indel frequency. The allelic editing frequency was calculated by the following equation: (% editing-50)/50.</w:t>
      </w:r>
    </w:p>
    <w:p w14:paraId="1FE5B1D5" w14:textId="77777777" w:rsidR="00794036" w:rsidRDefault="00794036" w:rsidP="00A9150B">
      <w:pPr>
        <w:spacing w:line="480" w:lineRule="auto"/>
      </w:pP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900"/>
        <w:gridCol w:w="2430"/>
        <w:gridCol w:w="270"/>
        <w:gridCol w:w="2790"/>
      </w:tblGrid>
      <w:tr w:rsidR="00794036" w14:paraId="091FB3BA" w14:textId="77777777" w:rsidTr="00975D1D">
        <w:trPr>
          <w:trHeight w:val="269"/>
        </w:trPr>
        <w:tc>
          <w:tcPr>
            <w:tcW w:w="990" w:type="dxa"/>
            <w:shd w:val="clear" w:color="auto" w:fill="000000" w:themeFill="text1"/>
          </w:tcPr>
          <w:p w14:paraId="49E3F97E" w14:textId="77777777" w:rsidR="00794036" w:rsidRDefault="00794036" w:rsidP="00A9150B">
            <w:pPr>
              <w:spacing w:line="480" w:lineRule="auto"/>
              <w:jc w:val="center"/>
            </w:pPr>
            <w:bookmarkStart w:id="0" w:name="_Hlk74132414"/>
            <w:r>
              <w:t>Target Gene</w:t>
            </w:r>
          </w:p>
        </w:tc>
        <w:tc>
          <w:tcPr>
            <w:tcW w:w="1890" w:type="dxa"/>
            <w:shd w:val="clear" w:color="auto" w:fill="000000" w:themeFill="text1"/>
          </w:tcPr>
          <w:p w14:paraId="49E72AB1" w14:textId="77777777" w:rsidR="00794036" w:rsidRDefault="00794036" w:rsidP="00A9150B">
            <w:pPr>
              <w:spacing w:line="480" w:lineRule="auto"/>
              <w:jc w:val="center"/>
            </w:pPr>
            <w:r>
              <w:t>gRNA sequence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45DB2EC" w14:textId="77777777" w:rsidR="00794036" w:rsidRDefault="00794036" w:rsidP="00A9150B">
            <w:pPr>
              <w:spacing w:line="480" w:lineRule="auto"/>
              <w:jc w:val="center"/>
            </w:pPr>
            <w:r>
              <w:t>PAM</w:t>
            </w:r>
          </w:p>
        </w:tc>
        <w:tc>
          <w:tcPr>
            <w:tcW w:w="2430" w:type="dxa"/>
            <w:shd w:val="clear" w:color="auto" w:fill="000000" w:themeFill="text1"/>
          </w:tcPr>
          <w:p w14:paraId="59A5F3C8" w14:textId="77777777" w:rsidR="00794036" w:rsidRDefault="00794036" w:rsidP="00A9150B">
            <w:pPr>
              <w:spacing w:line="480" w:lineRule="auto"/>
              <w:jc w:val="center"/>
            </w:pPr>
            <w:r>
              <w:t>Forward Primer*</w:t>
            </w:r>
          </w:p>
        </w:tc>
        <w:tc>
          <w:tcPr>
            <w:tcW w:w="3060" w:type="dxa"/>
            <w:gridSpan w:val="2"/>
            <w:shd w:val="clear" w:color="auto" w:fill="000000" w:themeFill="text1"/>
          </w:tcPr>
          <w:p w14:paraId="4E8616A6" w14:textId="77777777" w:rsidR="00794036" w:rsidRDefault="00794036" w:rsidP="00A9150B">
            <w:pPr>
              <w:spacing w:line="480" w:lineRule="auto"/>
              <w:jc w:val="center"/>
            </w:pPr>
            <w:r>
              <w:t>Reverse Primer*</w:t>
            </w:r>
          </w:p>
        </w:tc>
      </w:tr>
      <w:tr w:rsidR="00794036" w14:paraId="50D6955D" w14:textId="77777777" w:rsidTr="00975D1D">
        <w:trPr>
          <w:trHeight w:val="269"/>
        </w:trPr>
        <w:tc>
          <w:tcPr>
            <w:tcW w:w="990" w:type="dxa"/>
          </w:tcPr>
          <w:p w14:paraId="203E9CBF" w14:textId="77777777" w:rsidR="00794036" w:rsidRDefault="00794036" w:rsidP="00A9150B">
            <w:pPr>
              <w:spacing w:line="480" w:lineRule="auto"/>
              <w:jc w:val="center"/>
            </w:pPr>
            <w:r>
              <w:lastRenderedPageBreak/>
              <w:t>CCR5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D100B61" w14:textId="77777777" w:rsidR="00794036" w:rsidRPr="002D319F" w:rsidRDefault="00794036" w:rsidP="00A9150B">
            <w:pPr>
              <w:spacing w:line="480" w:lineRule="auto"/>
              <w:jc w:val="both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GAG</w:t>
            </w:r>
            <w:r w:rsidRPr="000E5D3C">
              <w:rPr>
                <w:rFonts w:ascii="Calibri" w:hAnsi="Calibri" w:cs="Calibri"/>
                <w:b/>
                <w:bCs/>
                <w:color w:val="212121"/>
                <w:u w:val="single"/>
              </w:rPr>
              <w:t>A</w:t>
            </w:r>
            <w:r>
              <w:rPr>
                <w:rFonts w:ascii="Calibri" w:hAnsi="Calibri" w:cs="Calibri"/>
                <w:color w:val="212121"/>
              </w:rPr>
              <w:t>GTTTCTTGTAGGGGAA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B91405D" w14:textId="77777777" w:rsidR="00794036" w:rsidRDefault="00794036" w:rsidP="00A9150B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CGG</w:t>
            </w:r>
          </w:p>
        </w:tc>
        <w:tc>
          <w:tcPr>
            <w:tcW w:w="2700" w:type="dxa"/>
            <w:gridSpan w:val="2"/>
          </w:tcPr>
          <w:p w14:paraId="5E5EE522" w14:textId="77777777" w:rsidR="00794036" w:rsidRPr="001050A9" w:rsidRDefault="00794036" w:rsidP="00A9150B">
            <w:pPr>
              <w:spacing w:line="480" w:lineRule="auto"/>
            </w:pPr>
            <w:r>
              <w:t xml:space="preserve">1: </w:t>
            </w:r>
            <w:r>
              <w:rPr>
                <w:rFonts w:ascii="Calibri" w:hAnsi="Calibri" w:cs="Calibri"/>
                <w:color w:val="000000"/>
              </w:rPr>
              <w:t>ACTGTCTATATGATTGATTTGCACAACT</w:t>
            </w:r>
          </w:p>
          <w:p w14:paraId="79892FC6" w14:textId="77777777" w:rsidR="00794036" w:rsidRDefault="00794036" w:rsidP="00A9150B">
            <w:pPr>
              <w:spacing w:line="480" w:lineRule="auto"/>
            </w:pPr>
            <w:r>
              <w:t xml:space="preserve">2: </w:t>
            </w:r>
            <w:r>
              <w:rPr>
                <w:rFonts w:ascii="Calibri" w:hAnsi="Calibri" w:cs="Calibri"/>
                <w:color w:val="000000"/>
              </w:rPr>
              <w:t>CGCCTTCAATACTCAATTATTTAACTC</w:t>
            </w:r>
          </w:p>
        </w:tc>
        <w:tc>
          <w:tcPr>
            <w:tcW w:w="2790" w:type="dxa"/>
          </w:tcPr>
          <w:p w14:paraId="1EFACAC0" w14:textId="77777777" w:rsidR="00794036" w:rsidRPr="001050A9" w:rsidRDefault="00794036" w:rsidP="00A9150B">
            <w:pPr>
              <w:spacing w:line="480" w:lineRule="auto"/>
            </w:pPr>
            <w:r>
              <w:t xml:space="preserve">1: </w:t>
            </w:r>
            <w:r>
              <w:rPr>
                <w:rFonts w:ascii="Calibri" w:hAnsi="Calibri" w:cs="Calibri"/>
                <w:color w:val="000000"/>
              </w:rPr>
              <w:t>CCTTTAAAGTCTTTCACTCACAATC</w:t>
            </w:r>
          </w:p>
          <w:p w14:paraId="1640D921" w14:textId="77777777" w:rsidR="00794036" w:rsidRDefault="00794036" w:rsidP="00A9150B">
            <w:pPr>
              <w:spacing w:line="480" w:lineRule="auto"/>
            </w:pPr>
            <w:r>
              <w:t>2:</w:t>
            </w:r>
            <w:r w:rsidRPr="001050A9">
              <w:t xml:space="preserve"> GTCAGAGTTTAGAATGAGTTTCAGATT</w:t>
            </w:r>
          </w:p>
        </w:tc>
      </w:tr>
      <w:tr w:rsidR="00794036" w14:paraId="50788F35" w14:textId="77777777" w:rsidTr="00975D1D">
        <w:trPr>
          <w:trHeight w:val="269"/>
        </w:trPr>
        <w:tc>
          <w:tcPr>
            <w:tcW w:w="990" w:type="dxa"/>
          </w:tcPr>
          <w:p w14:paraId="532CEA79" w14:textId="77777777" w:rsidR="00794036" w:rsidRDefault="00794036" w:rsidP="00A9150B">
            <w:pPr>
              <w:spacing w:line="480" w:lineRule="auto"/>
              <w:jc w:val="center"/>
            </w:pPr>
            <w:r>
              <w:t>B2M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D2C0E0D" w14:textId="77777777" w:rsidR="00794036" w:rsidRPr="005C50B9" w:rsidRDefault="00794036" w:rsidP="00A9150B">
            <w:pPr>
              <w:spacing w:line="48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GAGT</w:t>
            </w:r>
            <w:r w:rsidRPr="000E5D3C">
              <w:rPr>
                <w:rFonts w:ascii="Calibri" w:hAnsi="Calibri" w:cs="Calibri"/>
                <w:b/>
                <w:bCs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</w:rPr>
              <w:t>GCGCGAGCACAGCTA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E2410B8" w14:textId="77777777" w:rsidR="00794036" w:rsidRDefault="00794036" w:rsidP="00A9150B">
            <w:pPr>
              <w:spacing w:line="48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A</w:t>
            </w:r>
            <w:r w:rsidRPr="00A94C32">
              <w:rPr>
                <w:rFonts w:ascii="Calibri" w:hAnsi="Calibri" w:cs="Calibri"/>
                <w:color w:val="000000"/>
              </w:rPr>
              <w:t>GG</w:t>
            </w:r>
          </w:p>
        </w:tc>
        <w:tc>
          <w:tcPr>
            <w:tcW w:w="2430" w:type="dxa"/>
          </w:tcPr>
          <w:p w14:paraId="68A23064" w14:textId="77777777" w:rsidR="00794036" w:rsidRPr="001050A9" w:rsidRDefault="00794036" w:rsidP="00A9150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 CTGGGCACGCGTTTAATATAAG</w:t>
            </w:r>
          </w:p>
        </w:tc>
        <w:tc>
          <w:tcPr>
            <w:tcW w:w="3060" w:type="dxa"/>
            <w:gridSpan w:val="2"/>
          </w:tcPr>
          <w:p w14:paraId="31276C75" w14:textId="77777777" w:rsidR="00794036" w:rsidRPr="001050A9" w:rsidRDefault="00794036" w:rsidP="00A9150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 CACCAAGGAGAACTTGGAGAA</w:t>
            </w:r>
          </w:p>
        </w:tc>
      </w:tr>
      <w:bookmarkEnd w:id="0"/>
    </w:tbl>
    <w:p w14:paraId="3C1AC1C4" w14:textId="77777777" w:rsidR="00794036" w:rsidRDefault="00794036" w:rsidP="00A9150B">
      <w:pPr>
        <w:spacing w:line="480" w:lineRule="auto"/>
      </w:pPr>
    </w:p>
    <w:p w14:paraId="69884A0D" w14:textId="77777777" w:rsidR="00794036" w:rsidRDefault="00794036" w:rsidP="00A9150B">
      <w:pPr>
        <w:spacing w:line="480" w:lineRule="auto"/>
      </w:pPr>
    </w:p>
    <w:p w14:paraId="2C8DCA5D" w14:textId="77777777" w:rsidR="00794036" w:rsidRDefault="00794036" w:rsidP="00A9150B">
      <w:pPr>
        <w:spacing w:line="480" w:lineRule="auto"/>
      </w:pPr>
      <w:r>
        <w:t>* Adapters were added to the primer in the following format:</w:t>
      </w:r>
    </w:p>
    <w:p w14:paraId="56990C01" w14:textId="77777777" w:rsidR="00794036" w:rsidRDefault="00794036" w:rsidP="00A9150B">
      <w:pPr>
        <w:spacing w:line="480" w:lineRule="auto"/>
      </w:pPr>
      <w:r w:rsidRPr="000C55CF">
        <w:t>ACACTCTTTCCCTACACGACGCTCTTCCGATCTNNNN</w:t>
      </w:r>
      <w:r>
        <w:t>-Forward Primer Sequence</w:t>
      </w:r>
    </w:p>
    <w:p w14:paraId="486E615F" w14:textId="77777777" w:rsidR="00794036" w:rsidRDefault="00794036" w:rsidP="00A9150B">
      <w:pPr>
        <w:spacing w:line="480" w:lineRule="auto"/>
      </w:pPr>
      <w:r w:rsidRPr="000C55CF">
        <w:t>TGGAGTTCAGACGTGTGCTCTTCCGATCT</w:t>
      </w:r>
      <w:r>
        <w:t>-Reverse Primer Sequence</w:t>
      </w:r>
    </w:p>
    <w:p w14:paraId="4D9A5FA3" w14:textId="77777777" w:rsidR="00794036" w:rsidRDefault="00794036" w:rsidP="00A9150B">
      <w:pPr>
        <w:spacing w:line="480" w:lineRule="auto"/>
      </w:pPr>
    </w:p>
    <w:p w14:paraId="614B91F8" w14:textId="77777777" w:rsidR="00562A3D" w:rsidRDefault="00562A3D" w:rsidP="00A9150B">
      <w:pPr>
        <w:spacing w:line="480" w:lineRule="auto"/>
      </w:pPr>
    </w:p>
    <w:sectPr w:rsidR="0056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FC"/>
    <w:rsid w:val="00200CE8"/>
    <w:rsid w:val="003725FC"/>
    <w:rsid w:val="0053624E"/>
    <w:rsid w:val="00562A3D"/>
    <w:rsid w:val="005E5040"/>
    <w:rsid w:val="0061358B"/>
    <w:rsid w:val="00794036"/>
    <w:rsid w:val="00A1755A"/>
    <w:rsid w:val="00A9150B"/>
    <w:rsid w:val="00B171DD"/>
    <w:rsid w:val="00BF1159"/>
    <w:rsid w:val="00EC50D1"/>
    <w:rsid w:val="00F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7AB3"/>
  <w15:chartTrackingRefBased/>
  <w15:docId w15:val="{93B6A734-05E5-44A6-8029-62FC208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F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71DD"/>
  </w:style>
  <w:style w:type="table" w:styleId="TableGrid">
    <w:name w:val="Table Grid"/>
    <w:basedOn w:val="TableNormal"/>
    <w:uiPriority w:val="39"/>
    <w:rsid w:val="00794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28004E2E-76BA-4A26-AB6A-E67E83CC37F2}"/>
</file>

<file path=customXml/itemProps2.xml><?xml version="1.0" encoding="utf-8"?>
<ds:datastoreItem xmlns:ds="http://schemas.openxmlformats.org/officeDocument/2006/customXml" ds:itemID="{6C7E8AF4-AF74-4970-A4B2-D7BF32D0EAD0}"/>
</file>

<file path=customXml/itemProps3.xml><?xml version="1.0" encoding="utf-8"?>
<ds:datastoreItem xmlns:ds="http://schemas.openxmlformats.org/officeDocument/2006/customXml" ds:itemID="{74EAF492-2A15-417E-B0ED-E40079CE2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Kulhankova</dc:creator>
  <cp:keywords/>
  <dc:description/>
  <cp:lastModifiedBy>Katarina Kulhankova</cp:lastModifiedBy>
  <cp:revision>5</cp:revision>
  <dcterms:created xsi:type="dcterms:W3CDTF">2022-07-13T05:09:00Z</dcterms:created>
  <dcterms:modified xsi:type="dcterms:W3CDTF">2022-07-13T05:40:00Z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