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1E2F" w14:textId="7075CBD0" w:rsidR="00B90AB8" w:rsidRPr="00AC33D4" w:rsidRDefault="00D60632" w:rsidP="001521C2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Sample preparation &amp; </w:t>
      </w:r>
      <w:r w:rsidR="00AC33D4" w:rsidRPr="00AC33D4">
        <w:rPr>
          <w:rFonts w:cs="Arial"/>
          <w:b/>
          <w:bCs/>
          <w:sz w:val="28"/>
          <w:szCs w:val="28"/>
        </w:rPr>
        <w:t>Next-</w:t>
      </w:r>
      <w:r w:rsidR="00CB5910" w:rsidRPr="00AC33D4">
        <w:rPr>
          <w:rFonts w:cs="Arial"/>
          <w:b/>
          <w:bCs/>
          <w:sz w:val="28"/>
          <w:szCs w:val="28"/>
        </w:rPr>
        <w:t>generation Sequencing</w:t>
      </w:r>
      <w:r w:rsidR="007A45FB" w:rsidRPr="00AC33D4">
        <w:rPr>
          <w:rFonts w:cs="Arial"/>
          <w:b/>
          <w:bCs/>
          <w:sz w:val="28"/>
          <w:szCs w:val="28"/>
        </w:rPr>
        <w:t xml:space="preserve"> (NGS)</w:t>
      </w:r>
    </w:p>
    <w:p w14:paraId="0603A394" w14:textId="7F5485D0" w:rsidR="007A45FB" w:rsidRPr="00AC33D4" w:rsidRDefault="007A45FB" w:rsidP="001521C2">
      <w:pPr>
        <w:jc w:val="center"/>
        <w:rPr>
          <w:rFonts w:cs="Arial"/>
          <w:b/>
          <w:bCs/>
          <w:sz w:val="28"/>
          <w:szCs w:val="28"/>
        </w:rPr>
      </w:pPr>
      <w:r w:rsidRPr="00AC33D4">
        <w:rPr>
          <w:rFonts w:cs="Arial"/>
          <w:b/>
          <w:bCs/>
          <w:sz w:val="28"/>
          <w:szCs w:val="28"/>
        </w:rPr>
        <w:t>UC Berkeley &amp; IGI</w:t>
      </w:r>
    </w:p>
    <w:p w14:paraId="54A72893" w14:textId="2631F4CB" w:rsidR="007A45FB" w:rsidRPr="00AC33D4" w:rsidRDefault="00AC33D4" w:rsidP="001521C2">
      <w:pPr>
        <w:jc w:val="center"/>
        <w:rPr>
          <w:rFonts w:cs="Arial"/>
          <w:b/>
          <w:bCs/>
        </w:rPr>
      </w:pPr>
      <w:r w:rsidRPr="00AC33D4">
        <w:rPr>
          <w:rFonts w:cs="Arial"/>
          <w:b/>
          <w:bCs/>
        </w:rPr>
        <w:t xml:space="preserve">Lorena de Oñate (Ross </w:t>
      </w:r>
      <w:r w:rsidR="007A45FB" w:rsidRPr="00AC33D4">
        <w:rPr>
          <w:rFonts w:cs="Arial"/>
          <w:b/>
          <w:bCs/>
        </w:rPr>
        <w:t>Wilson</w:t>
      </w:r>
      <w:r w:rsidRPr="00AC33D4">
        <w:rPr>
          <w:rFonts w:cs="Arial"/>
          <w:b/>
          <w:bCs/>
        </w:rPr>
        <w:t>’s</w:t>
      </w:r>
      <w:r w:rsidR="007A45FB" w:rsidRPr="00AC33D4">
        <w:rPr>
          <w:rFonts w:cs="Arial"/>
          <w:b/>
          <w:bCs/>
        </w:rPr>
        <w:t xml:space="preserve"> Lab</w:t>
      </w:r>
      <w:r w:rsidRPr="00AC33D4">
        <w:rPr>
          <w:rFonts w:cs="Arial"/>
          <w:b/>
          <w:bCs/>
        </w:rPr>
        <w:t>)</w:t>
      </w:r>
    </w:p>
    <w:p w14:paraId="24393089" w14:textId="77777777" w:rsidR="001521C2" w:rsidRDefault="001521C2" w:rsidP="001521C2">
      <w:pPr>
        <w:rPr>
          <w:b/>
          <w:bCs/>
        </w:rPr>
      </w:pPr>
    </w:p>
    <w:p w14:paraId="3BE7F3D6" w14:textId="689E83F5" w:rsidR="00D60632" w:rsidRPr="00D60632" w:rsidRDefault="00D60632" w:rsidP="001521C2">
      <w:pPr>
        <w:rPr>
          <w:b/>
          <w:bCs/>
        </w:rPr>
      </w:pPr>
      <w:r w:rsidRPr="00D60632">
        <w:rPr>
          <w:b/>
          <w:bCs/>
        </w:rPr>
        <w:t>Cas9 RNP sample preparation</w:t>
      </w:r>
    </w:p>
    <w:p w14:paraId="4E9B6E6C" w14:textId="4107CC24" w:rsidR="00D60632" w:rsidRDefault="00D60632" w:rsidP="001521C2">
      <w:r w:rsidRPr="00D60632">
        <w:t xml:space="preserve">Cas9 </w:t>
      </w:r>
      <w:r>
        <w:t>RNPs were prepared</w:t>
      </w:r>
      <w:r w:rsidR="00BE18B0">
        <w:t xml:space="preserve"> as described in </w:t>
      </w:r>
      <w:proofErr w:type="spellStart"/>
      <w:r w:rsidR="00BE18B0">
        <w:t>Rouet</w:t>
      </w:r>
      <w:proofErr w:type="spellEnd"/>
      <w:r w:rsidR="00BE18B0">
        <w:t xml:space="preserve"> </w:t>
      </w:r>
      <w:r w:rsidR="00BE18B0" w:rsidRPr="00F04D5B">
        <w:rPr>
          <w:i/>
          <w:iCs/>
        </w:rPr>
        <w:t>et al.</w:t>
      </w:r>
      <w:r w:rsidR="00BE18B0">
        <w:t xml:space="preserve"> 2018:</w:t>
      </w:r>
      <w:r w:rsidR="001521C2">
        <w:t xml:space="preserve"> </w:t>
      </w:r>
      <w:r w:rsidR="00BE18B0">
        <w:t xml:space="preserve"> </w:t>
      </w:r>
      <w:hyperlink r:id="rId5" w:history="1">
        <w:r w:rsidR="00BE18B0" w:rsidRPr="00415869">
          <w:rPr>
            <w:rStyle w:val="Hipervnculo"/>
          </w:rPr>
          <w:t>https://pubs.acs.org/doi/10.1021/jacs.8b01551</w:t>
        </w:r>
      </w:hyperlink>
    </w:p>
    <w:p w14:paraId="02828558" w14:textId="6D5FC37A" w:rsidR="00BE18B0" w:rsidRPr="001521C2" w:rsidRDefault="00BE18B0" w:rsidP="00CA4ADF">
      <w:pPr>
        <w:rPr>
          <w:i/>
          <w:iCs/>
        </w:rPr>
      </w:pPr>
      <w:r>
        <w:t xml:space="preserve">For </w:t>
      </w:r>
      <w:proofErr w:type="spellStart"/>
      <w:r>
        <w:t>triGalNAc</w:t>
      </w:r>
      <w:proofErr w:type="spellEnd"/>
      <w:r>
        <w:t xml:space="preserve">-conjugated Cas9 protein, a simplified version of the ligand was used (in contrast to the version used in </w:t>
      </w:r>
      <w:proofErr w:type="spellStart"/>
      <w:r>
        <w:t>Rouet</w:t>
      </w:r>
      <w:proofErr w:type="spellEnd"/>
      <w:r w:rsidR="00F04D5B">
        <w:t xml:space="preserve"> </w:t>
      </w:r>
      <w:r w:rsidR="00F04D5B" w:rsidRPr="00F04D5B">
        <w:rPr>
          <w:i/>
          <w:iCs/>
        </w:rPr>
        <w:t>et al.</w:t>
      </w:r>
      <w:r>
        <w:t xml:space="preserve"> 2018). This version was synthesized using </w:t>
      </w:r>
      <w:r w:rsidRPr="00BE18B0">
        <w:t>(β-D-</w:t>
      </w:r>
      <w:proofErr w:type="spellStart"/>
      <w:r w:rsidRPr="00BE18B0">
        <w:t>GalNAc</w:t>
      </w:r>
      <w:proofErr w:type="spellEnd"/>
      <w:r w:rsidRPr="00BE18B0">
        <w:t>-</w:t>
      </w:r>
      <w:proofErr w:type="spellStart"/>
      <w:r w:rsidRPr="00BE18B0">
        <w:t>sp</w:t>
      </w:r>
      <w:proofErr w:type="spellEnd"/>
      <w:r w:rsidRPr="00BE18B0">
        <w:t>)3-NHC(O)-PEG5-COOH</w:t>
      </w:r>
      <w:r>
        <w:t xml:space="preserve"> (Sussex Research) and </w:t>
      </w:r>
      <w:r w:rsidRPr="00BE18B0">
        <w:t>PDPH (3-(2-pyridyldithio)propionyl hydrazide)</w:t>
      </w:r>
      <w:r>
        <w:t xml:space="preserve"> (Fisher), generating a </w:t>
      </w:r>
      <w:proofErr w:type="spellStart"/>
      <w:r>
        <w:t>triGalNAc</w:t>
      </w:r>
      <w:proofErr w:type="spellEnd"/>
      <w:r>
        <w:t xml:space="preserve"> moiety bearing a pyridyl disulfide group, which was used for conjugation akin to that performed in </w:t>
      </w:r>
      <w:proofErr w:type="spellStart"/>
      <w:r>
        <w:t>Rouet</w:t>
      </w:r>
      <w:proofErr w:type="spellEnd"/>
      <w:r>
        <w:t xml:space="preserve"> 2018.</w:t>
      </w:r>
      <w:r w:rsidR="005B2337">
        <w:t xml:space="preserve"> </w:t>
      </w:r>
      <w:r>
        <w:t xml:space="preserve">RNPs were complexed with </w:t>
      </w:r>
      <w:r w:rsidR="00F04D5B" w:rsidRPr="001521C2">
        <w:t>30</w:t>
      </w:r>
      <w:r>
        <w:t xml:space="preserve"> molar equivalents of delivery peptide ppTG21 (sequence</w:t>
      </w:r>
      <w:r w:rsidR="00F04D5B">
        <w:t>:</w:t>
      </w:r>
      <w:r>
        <w:t xml:space="preserve"> </w:t>
      </w:r>
      <w:r w:rsidR="00F04D5B">
        <w:t>G</w:t>
      </w:r>
      <w:r w:rsidR="00F04D5B" w:rsidRPr="00F04D5B">
        <w:t>LFHALLHLLHSLWHLLLHA</w:t>
      </w:r>
      <w:r w:rsidR="00F04D5B">
        <w:t>; from CPC Inc.) before use</w:t>
      </w:r>
      <w:r w:rsidR="00013304">
        <w:t xml:space="preserve">. </w:t>
      </w:r>
      <w:r w:rsidR="005B2337">
        <w:t xml:space="preserve">150 </w:t>
      </w:r>
      <w:proofErr w:type="spellStart"/>
      <w:r w:rsidR="005B2337">
        <w:t>pmol</w:t>
      </w:r>
      <w:proofErr w:type="spellEnd"/>
      <w:r w:rsidR="005B2337">
        <w:t xml:space="preserve"> of the complexed RNPs were administered </w:t>
      </w:r>
      <w:r w:rsidR="00013304">
        <w:t xml:space="preserve">every 600,000 hepatocytes </w:t>
      </w:r>
      <w:r w:rsidR="00013304" w:rsidRPr="00D60632">
        <w:t>(lot# HU2054)</w:t>
      </w:r>
      <w:r w:rsidR="00013304">
        <w:t>.</w:t>
      </w:r>
      <w:r w:rsidR="00F04D5B">
        <w:t xml:space="preserve"> The sgRNA was synthesized as described in </w:t>
      </w:r>
      <w:proofErr w:type="spellStart"/>
      <w:r w:rsidR="00F04D5B">
        <w:t>Rouet</w:t>
      </w:r>
      <w:proofErr w:type="spellEnd"/>
      <w:r w:rsidR="00F04D5B">
        <w:t xml:space="preserve"> </w:t>
      </w:r>
      <w:r w:rsidR="00F04D5B" w:rsidRPr="00F04D5B">
        <w:rPr>
          <w:i/>
          <w:iCs/>
        </w:rPr>
        <w:t>et al.</w:t>
      </w:r>
      <w:r w:rsidR="00F04D5B">
        <w:t xml:space="preserve"> 2018, and used spacer sequence</w:t>
      </w:r>
      <w:r w:rsidR="00CA4ADF">
        <w:t xml:space="preserve"> </w:t>
      </w:r>
      <w:r w:rsidR="00A5438B" w:rsidRPr="00A5438B">
        <w:t>CTTCTCTACACCCAGGGCAC</w:t>
      </w:r>
      <w:r w:rsidR="00A5438B">
        <w:t xml:space="preserve"> </w:t>
      </w:r>
      <w:r w:rsidR="00F04D5B">
        <w:t>to target</w:t>
      </w:r>
      <w:r w:rsidR="003D34A8">
        <w:t xml:space="preserve"> exon 2 </w:t>
      </w:r>
      <w:r w:rsidR="00CA4ADF">
        <w:t>from</w:t>
      </w:r>
      <w:r w:rsidR="003D34A8">
        <w:t xml:space="preserve"> the transthyretin (TTR) </w:t>
      </w:r>
      <w:r w:rsidR="00F04D5B" w:rsidRPr="001521C2">
        <w:t>gene</w:t>
      </w:r>
      <w:r w:rsidR="003D34A8" w:rsidRPr="00013304">
        <w:t>.</w:t>
      </w:r>
      <w:r w:rsidR="003D34A8">
        <w:t xml:space="preserve"> </w:t>
      </w:r>
      <w:r w:rsidR="00F04D5B">
        <w:t xml:space="preserve">Samples were prepared at a concentration of </w:t>
      </w:r>
      <w:r w:rsidR="005B2337">
        <w:t>8</w:t>
      </w:r>
      <w:r w:rsidR="005B2337">
        <w:t xml:space="preserve"> </w:t>
      </w:r>
      <w:proofErr w:type="spellStart"/>
      <w:r w:rsidR="00F04D5B">
        <w:t>μM</w:t>
      </w:r>
      <w:proofErr w:type="spellEnd"/>
      <w:r w:rsidR="00F04D5B">
        <w:t xml:space="preserve"> and were diluted </w:t>
      </w:r>
      <w:r w:rsidR="00013304">
        <w:t xml:space="preserve">into 300 µL of cell culture media </w:t>
      </w:r>
      <w:r w:rsidR="00F04D5B">
        <w:t>before administration</w:t>
      </w:r>
      <w:r w:rsidR="008110CA">
        <w:t xml:space="preserve"> by media exchange during 6 minutes. </w:t>
      </w:r>
      <w:proofErr w:type="spellStart"/>
      <w:r w:rsidR="008110CA" w:rsidRPr="001521C2">
        <w:rPr>
          <w:i/>
          <w:iCs/>
          <w:highlight w:val="cyan"/>
        </w:rPr>
        <w:t>Kiani</w:t>
      </w:r>
      <w:proofErr w:type="spellEnd"/>
      <w:r w:rsidR="008110CA" w:rsidRPr="001521C2">
        <w:rPr>
          <w:i/>
          <w:iCs/>
          <w:highlight w:val="cyan"/>
        </w:rPr>
        <w:t xml:space="preserve"> Lab Info ?</w:t>
      </w:r>
    </w:p>
    <w:p w14:paraId="4DDDEF0A" w14:textId="77777777" w:rsidR="00D60632" w:rsidRDefault="00D60632" w:rsidP="001521C2"/>
    <w:p w14:paraId="2BCC7801" w14:textId="6588D846" w:rsidR="00CB5910" w:rsidRPr="00D60632" w:rsidRDefault="00CB5910" w:rsidP="001521C2">
      <w:pPr>
        <w:rPr>
          <w:b/>
          <w:bCs/>
        </w:rPr>
      </w:pPr>
      <w:r w:rsidRPr="00D60632">
        <w:rPr>
          <w:b/>
          <w:bCs/>
        </w:rPr>
        <w:t xml:space="preserve">PCR amplification of </w:t>
      </w:r>
      <w:r w:rsidR="003C44D4" w:rsidRPr="00D60632">
        <w:rPr>
          <w:b/>
          <w:bCs/>
        </w:rPr>
        <w:t>TTR locus</w:t>
      </w:r>
      <w:r w:rsidRPr="00D60632">
        <w:rPr>
          <w:b/>
          <w:bCs/>
        </w:rPr>
        <w:t xml:space="preserve"> for next-generation sequencing</w:t>
      </w:r>
    </w:p>
    <w:p w14:paraId="5E2487B7" w14:textId="7309050A" w:rsidR="00043C2E" w:rsidRPr="00D60632" w:rsidRDefault="00AC33D4" w:rsidP="001521C2">
      <w:r w:rsidRPr="00D60632">
        <w:t>To determine and quantify the</w:t>
      </w:r>
      <w:r w:rsidR="00043C2E" w:rsidRPr="00D60632">
        <w:t xml:space="preserve"> percentage of non-homologous end joining (NHEJ)</w:t>
      </w:r>
      <w:r w:rsidR="00022B69" w:rsidRPr="00D60632">
        <w:t xml:space="preserve"> in hepatocytes (lot# HU2054)</w:t>
      </w:r>
      <w:r w:rsidR="003C44D4" w:rsidRPr="00D60632">
        <w:t xml:space="preserve"> after peptide mediated delivery of Cas9 ribonucleoprotein (RNP)</w:t>
      </w:r>
      <w:r w:rsidR="00022B69" w:rsidRPr="00D60632">
        <w:t xml:space="preserve">, </w:t>
      </w:r>
      <w:r w:rsidR="00043C2E" w:rsidRPr="00D60632">
        <w:t xml:space="preserve">cell samples were prepared as follows. </w:t>
      </w:r>
    </w:p>
    <w:p w14:paraId="3A777104" w14:textId="05D5A0FF" w:rsidR="00FE59CD" w:rsidRPr="00D60632" w:rsidRDefault="001257B0" w:rsidP="001521C2">
      <w:r w:rsidRPr="00D60632">
        <w:t>Genomic DNA</w:t>
      </w:r>
      <w:r w:rsidR="00CB5910" w:rsidRPr="00D60632">
        <w:t xml:space="preserve"> </w:t>
      </w:r>
      <w:r w:rsidRPr="00D60632">
        <w:t>(</w:t>
      </w:r>
      <w:r w:rsidR="00CB5910" w:rsidRPr="00D60632">
        <w:t>gDNA</w:t>
      </w:r>
      <w:r w:rsidRPr="00D60632">
        <w:t xml:space="preserve">) </w:t>
      </w:r>
      <w:r w:rsidR="00CB5910" w:rsidRPr="00D60632">
        <w:t xml:space="preserve">was extracted </w:t>
      </w:r>
      <w:r w:rsidR="003C44D4" w:rsidRPr="00D60632">
        <w:t xml:space="preserve">72 hours post-delivery </w:t>
      </w:r>
      <w:r w:rsidR="00CB5910" w:rsidRPr="00D60632">
        <w:t xml:space="preserve">using </w:t>
      </w:r>
      <w:r w:rsidR="003C44D4" w:rsidRPr="00D60632">
        <w:t>Quick Extract</w:t>
      </w:r>
      <w:r w:rsidR="00CB5910" w:rsidRPr="00D60632">
        <w:t xml:space="preserve"> buffer (</w:t>
      </w:r>
      <w:proofErr w:type="spellStart"/>
      <w:r w:rsidR="00CB5910" w:rsidRPr="00D60632">
        <w:t>Lucigen</w:t>
      </w:r>
      <w:proofErr w:type="spellEnd"/>
      <w:r w:rsidR="00CB5910" w:rsidRPr="00D60632">
        <w:t>) according to the</w:t>
      </w:r>
      <w:r w:rsidR="00AC33D4" w:rsidRPr="00D60632">
        <w:t xml:space="preserve"> </w:t>
      </w:r>
      <w:r w:rsidR="00CB5910" w:rsidRPr="00D60632">
        <w:t xml:space="preserve">manufacturer’s protocol. </w:t>
      </w:r>
      <w:r w:rsidRPr="00D60632">
        <w:t xml:space="preserve">Briefly, after washing the cells with DPBS (-/-) twice, QE was added and incubated for 10 minutes at RT. The harvested cells were transferred to </w:t>
      </w:r>
      <w:r w:rsidR="00FE59CD" w:rsidRPr="00D60632">
        <w:t>PCR tubes and incubated at the</w:t>
      </w:r>
      <w:r w:rsidR="00BF7E57" w:rsidRPr="00D60632">
        <w:t xml:space="preserve"> </w:t>
      </w:r>
      <w:r w:rsidRPr="00D60632">
        <w:t xml:space="preserve">thermocycler </w:t>
      </w:r>
      <w:r w:rsidR="00FE59CD" w:rsidRPr="00D60632">
        <w:t xml:space="preserve">at </w:t>
      </w:r>
      <w:r w:rsidRPr="00D60632">
        <w:t>65°C for 40 mins and 95°C for 20 mins</w:t>
      </w:r>
      <w:r w:rsidR="00FE59CD" w:rsidRPr="00D60632">
        <w:t>. This is a longer incubation than the recommended by the manufacturer, which has demonstrated better results in our hands.</w:t>
      </w:r>
    </w:p>
    <w:p w14:paraId="133771C2" w14:textId="4CACB637" w:rsidR="00043C2E" w:rsidRPr="00D60632" w:rsidRDefault="00043C2E" w:rsidP="001521C2">
      <w:r w:rsidRPr="00D60632">
        <w:t xml:space="preserve">To generate PCR amplicons </w:t>
      </w:r>
      <w:r w:rsidR="00CB5910" w:rsidRPr="00D60632">
        <w:t>across the target sites</w:t>
      </w:r>
      <w:r w:rsidRPr="00D60632">
        <w:t xml:space="preserve">, </w:t>
      </w:r>
      <w:r w:rsidR="00C26726" w:rsidRPr="00D60632">
        <w:t xml:space="preserve">TTR </w:t>
      </w:r>
      <w:r w:rsidR="00CB5910" w:rsidRPr="00D60632">
        <w:t>locus-specific primers</w:t>
      </w:r>
      <w:r w:rsidR="00C26726" w:rsidRPr="00D60632">
        <w:t>, forward 5’</w:t>
      </w:r>
      <w:r w:rsidR="00740EA1" w:rsidRPr="00D60632">
        <w:t>-</w:t>
      </w:r>
      <w:r w:rsidR="00C26726" w:rsidRPr="00D60632">
        <w:t>GTGTCTGGAGGCAGAAACCA-3’ and reverse 5’-</w:t>
      </w:r>
      <w:r w:rsidR="00740EA1" w:rsidRPr="00D60632">
        <w:t xml:space="preserve">CAAGTCCTGTGGGAGGGTTC-3’ </w:t>
      </w:r>
      <w:r w:rsidRPr="00D60632">
        <w:t xml:space="preserve">were designed using Primer Blast and the </w:t>
      </w:r>
      <w:r w:rsidR="00BF7E57" w:rsidRPr="00D60632">
        <w:t xml:space="preserve">human </w:t>
      </w:r>
      <w:r w:rsidRPr="00D60632">
        <w:t>ref</w:t>
      </w:r>
      <w:r w:rsidR="00BF7E57" w:rsidRPr="00D60632">
        <w:t xml:space="preserve">erence </w:t>
      </w:r>
      <w:r w:rsidRPr="00D60632">
        <w:t xml:space="preserve">genome sequence </w:t>
      </w:r>
      <w:r w:rsidR="00C26726" w:rsidRPr="00D60632">
        <w:t>NC_000018_10</w:t>
      </w:r>
      <w:r w:rsidR="00AC33D4" w:rsidRPr="00D60632">
        <w:t xml:space="preserve">, with the amplicon </w:t>
      </w:r>
      <w:r w:rsidRPr="00D60632">
        <w:t xml:space="preserve">spanning </w:t>
      </w:r>
      <w:r w:rsidR="00CB5910" w:rsidRPr="00D60632">
        <w:t xml:space="preserve">a region of </w:t>
      </w:r>
      <w:r w:rsidR="00C26726" w:rsidRPr="00D60632">
        <w:t>376</w:t>
      </w:r>
      <w:r w:rsidR="00CB5910" w:rsidRPr="00D60632">
        <w:t xml:space="preserve"> bp around the </w:t>
      </w:r>
      <w:r w:rsidRPr="00D60632">
        <w:t xml:space="preserve">predicted Cas9 </w:t>
      </w:r>
      <w:r w:rsidR="00CB5910" w:rsidRPr="00D60632">
        <w:t>cut</w:t>
      </w:r>
      <w:r w:rsidRPr="00D60632">
        <w:t>ting</w:t>
      </w:r>
      <w:r w:rsidR="00CB5910" w:rsidRPr="00D60632">
        <w:t xml:space="preserve"> site</w:t>
      </w:r>
      <w:r w:rsidR="00C26726" w:rsidRPr="00D60632">
        <w:t xml:space="preserve"> in exon 2</w:t>
      </w:r>
      <w:r w:rsidR="00B35008" w:rsidRPr="00D60632">
        <w:t>.</w:t>
      </w:r>
      <w:r w:rsidR="00FB7AB7" w:rsidRPr="00D60632">
        <w:t xml:space="preserve"> Amplicon sequencing p</w:t>
      </w:r>
      <w:r w:rsidR="00B35008" w:rsidRPr="00D60632">
        <w:t xml:space="preserve">rimers </w:t>
      </w:r>
      <w:r w:rsidR="00AC33D4" w:rsidRPr="00D60632">
        <w:t>incorporate</w:t>
      </w:r>
      <w:r w:rsidR="00372227" w:rsidRPr="00D60632">
        <w:t xml:space="preserve"> an adaptor or</w:t>
      </w:r>
      <w:r w:rsidR="00B35008" w:rsidRPr="00D60632">
        <w:t xml:space="preserve"> </w:t>
      </w:r>
      <w:r w:rsidR="00AC33D4" w:rsidRPr="00D60632">
        <w:t>“</w:t>
      </w:r>
      <w:r w:rsidR="00B35008" w:rsidRPr="00D60632">
        <w:t>stub</w:t>
      </w:r>
      <w:r w:rsidR="00AC33D4" w:rsidRPr="00D60632">
        <w:t>”</w:t>
      </w:r>
      <w:r w:rsidR="00FB7AB7" w:rsidRPr="00D60632">
        <w:t xml:space="preserve"> </w:t>
      </w:r>
      <w:r w:rsidR="00372227" w:rsidRPr="00D60632">
        <w:t>at the 5</w:t>
      </w:r>
      <w:r w:rsidR="00AC33D4" w:rsidRPr="00D60632">
        <w:t>′</w:t>
      </w:r>
      <w:r w:rsidR="00372227" w:rsidRPr="00D60632">
        <w:t xml:space="preserve"> end</w:t>
      </w:r>
      <w:r w:rsidR="00AC33D4" w:rsidRPr="00D60632">
        <w:t>, making the amplicon</w:t>
      </w:r>
      <w:r w:rsidR="00372227" w:rsidRPr="00D60632">
        <w:t xml:space="preserve"> </w:t>
      </w:r>
      <w:r w:rsidR="00B35008" w:rsidRPr="00D60632">
        <w:t>compatible with Illumina NGS library preparation</w:t>
      </w:r>
      <w:r w:rsidR="00BF7E57" w:rsidRPr="00D60632">
        <w:t>.</w:t>
      </w:r>
      <w:r w:rsidR="00FB7AB7" w:rsidRPr="00D60632">
        <w:t xml:space="preserve"> </w:t>
      </w:r>
    </w:p>
    <w:p w14:paraId="5113E802" w14:textId="77777777" w:rsidR="00F45D78" w:rsidRPr="00D60632" w:rsidRDefault="00BF7E57" w:rsidP="001521C2">
      <w:r w:rsidRPr="00D60632">
        <w:t>C</w:t>
      </w:r>
      <w:r w:rsidR="00B35008" w:rsidRPr="00D60632">
        <w:t xml:space="preserve">oncentrations of genomic DNA samples were </w:t>
      </w:r>
      <w:r w:rsidR="00C55162" w:rsidRPr="00D60632">
        <w:t xml:space="preserve">assessed </w:t>
      </w:r>
      <w:r w:rsidR="00B35008" w:rsidRPr="00D60632">
        <w:t>using the Quant-</w:t>
      </w:r>
      <w:proofErr w:type="spellStart"/>
      <w:r w:rsidR="00B35008" w:rsidRPr="00D60632">
        <w:t>iT</w:t>
      </w:r>
      <w:proofErr w:type="spellEnd"/>
      <w:r w:rsidR="00B35008" w:rsidRPr="00D60632">
        <w:t xml:space="preserve"> </w:t>
      </w:r>
      <w:proofErr w:type="spellStart"/>
      <w:r w:rsidR="00B35008" w:rsidRPr="00D60632">
        <w:t>Picogreen</w:t>
      </w:r>
      <w:proofErr w:type="spellEnd"/>
      <w:r w:rsidR="00B35008" w:rsidRPr="00D60632">
        <w:t xml:space="preserve"> dsDNA assay kit (</w:t>
      </w:r>
      <w:proofErr w:type="spellStart"/>
      <w:r w:rsidR="00B35008" w:rsidRPr="00D60632">
        <w:t>Thermo</w:t>
      </w:r>
      <w:r w:rsidR="00AC33D4" w:rsidRPr="00D60632">
        <w:t>F</w:t>
      </w:r>
      <w:r w:rsidR="00B35008" w:rsidRPr="00D60632">
        <w:t>isher</w:t>
      </w:r>
      <w:proofErr w:type="spellEnd"/>
      <w:r w:rsidR="00B35008" w:rsidRPr="00D60632">
        <w:t xml:space="preserve"> P7589</w:t>
      </w:r>
      <w:r w:rsidR="00372227" w:rsidRPr="00D60632">
        <w:t>) following manufacturer’s instructions.</w:t>
      </w:r>
      <w:r w:rsidR="00B35008" w:rsidRPr="00D60632">
        <w:t xml:space="preserve"> The supplied </w:t>
      </w:r>
      <w:r w:rsidR="00372227" w:rsidRPr="00D60632">
        <w:t xml:space="preserve">DNA </w:t>
      </w:r>
      <w:r w:rsidR="00B35008" w:rsidRPr="00D60632">
        <w:t xml:space="preserve">standard was diluted to the recommended concentration and analyzed alongside the samples. The </w:t>
      </w:r>
      <w:r w:rsidR="00FB7AB7" w:rsidRPr="00D60632">
        <w:t>samples were read</w:t>
      </w:r>
      <w:r w:rsidR="00B35008" w:rsidRPr="00D60632">
        <w:t xml:space="preserve"> in a TECAN fluorescence plate reader</w:t>
      </w:r>
      <w:r w:rsidR="00F45D78" w:rsidRPr="00D60632">
        <w:t xml:space="preserve"> with an excitation wavelength of 490 nm and an emission wavelength of 525 nm.</w:t>
      </w:r>
    </w:p>
    <w:p w14:paraId="03B867FA" w14:textId="45A58BD4" w:rsidR="00FB7AB7" w:rsidRPr="00D60632" w:rsidRDefault="00C55162" w:rsidP="001521C2">
      <w:r w:rsidRPr="00D60632">
        <w:t>For PCR,</w:t>
      </w:r>
      <w:r w:rsidR="00AC33D4" w:rsidRPr="00D60632">
        <w:t xml:space="preserve"> </w:t>
      </w:r>
      <w:r w:rsidR="00B35008" w:rsidRPr="00D60632">
        <w:t>30</w:t>
      </w:r>
      <w:r w:rsidR="00AC33D4" w:rsidRPr="00D60632">
        <w:t>–</w:t>
      </w:r>
      <w:r w:rsidR="00B35008" w:rsidRPr="00D60632">
        <w:t>40</w:t>
      </w:r>
      <w:r w:rsidR="00FB7AB7" w:rsidRPr="00D60632">
        <w:t xml:space="preserve"> </w:t>
      </w:r>
      <w:r w:rsidR="00B35008" w:rsidRPr="00D60632">
        <w:t xml:space="preserve">ng of gDNA input were used as template using </w:t>
      </w:r>
      <w:r w:rsidRPr="00D60632">
        <w:t xml:space="preserve">the </w:t>
      </w:r>
      <w:r w:rsidR="00B35008" w:rsidRPr="00D60632">
        <w:t>High Fidelity GXL Polymerase (TAKARA)</w:t>
      </w:r>
      <w:r w:rsidRPr="00D60632">
        <w:t xml:space="preserve"> and the following </w:t>
      </w:r>
      <w:r w:rsidR="00BF7E57" w:rsidRPr="00D60632">
        <w:t xml:space="preserve">general </w:t>
      </w:r>
      <w:r w:rsidRPr="00D60632">
        <w:t>thermocycler conditions</w:t>
      </w:r>
      <w:r w:rsidR="00BF7E57" w:rsidRPr="00D60632">
        <w:t xml:space="preserve">: </w:t>
      </w:r>
      <w:r w:rsidRPr="00D60632">
        <w:t xml:space="preserve">denaturing for 2 minutes at 95°C; then 32 cycles of 15 seconds at 95°C, primer annealing for 15 seconds at </w:t>
      </w:r>
      <w:r w:rsidR="00740EA1" w:rsidRPr="00D60632">
        <w:t>60</w:t>
      </w:r>
      <w:r w:rsidRPr="00D60632">
        <w:t>°C and amplification of 30</w:t>
      </w:r>
      <w:r w:rsidR="00740EA1" w:rsidRPr="00D60632">
        <w:t xml:space="preserve"> </w:t>
      </w:r>
      <w:r w:rsidRPr="00D60632">
        <w:t>seconds at 68°C with final amplification of 2 minutes at 68°C. T</w:t>
      </w:r>
      <w:r w:rsidR="00372227" w:rsidRPr="00D60632">
        <w:t>he result</w:t>
      </w:r>
      <w:r w:rsidRPr="00D60632">
        <w:t xml:space="preserve">ing </w:t>
      </w:r>
      <w:r w:rsidR="00FB7AB7" w:rsidRPr="00D60632">
        <w:t>amplicon</w:t>
      </w:r>
      <w:r w:rsidRPr="00D60632">
        <w:t>s were</w:t>
      </w:r>
      <w:r w:rsidR="00FB7AB7" w:rsidRPr="00D60632">
        <w:t xml:space="preserve"> </w:t>
      </w:r>
      <w:r w:rsidRPr="00D60632">
        <w:t xml:space="preserve">analyzed </w:t>
      </w:r>
      <w:r w:rsidR="00FB7AB7" w:rsidRPr="00D60632">
        <w:t xml:space="preserve">by agarose gel electrophoresis. Then, </w:t>
      </w:r>
      <w:r w:rsidR="00F45D78" w:rsidRPr="00D60632">
        <w:t xml:space="preserve">the </w:t>
      </w:r>
      <w:r w:rsidR="00FB7AB7" w:rsidRPr="00D60632">
        <w:t>PCR products were purified by using silica magnetic beads</w:t>
      </w:r>
      <w:r w:rsidR="00372227" w:rsidRPr="00D60632">
        <w:t xml:space="preserve"> (SPRI)</w:t>
      </w:r>
      <w:r w:rsidR="00FB7AB7" w:rsidRPr="00D60632">
        <w:t xml:space="preserve"> prepared by the UC Berkeley Sequencing Facility </w:t>
      </w:r>
      <w:r w:rsidR="00372227" w:rsidRPr="00D60632">
        <w:t xml:space="preserve">comparable to </w:t>
      </w:r>
      <w:proofErr w:type="spellStart"/>
      <w:r w:rsidR="00372227" w:rsidRPr="00D60632">
        <w:t>AMPure</w:t>
      </w:r>
      <w:proofErr w:type="spellEnd"/>
      <w:r w:rsidR="00372227" w:rsidRPr="00D60632">
        <w:t xml:space="preserve"> XP (Beckman) </w:t>
      </w:r>
      <w:r w:rsidR="00FB7AB7" w:rsidRPr="00D60632">
        <w:t>and the products were quantified by</w:t>
      </w:r>
      <w:r w:rsidR="00F45D78" w:rsidRPr="00D60632">
        <w:t xml:space="preserve"> </w:t>
      </w:r>
      <w:proofErr w:type="spellStart"/>
      <w:r w:rsidR="00FB7AB7" w:rsidRPr="00D60632">
        <w:t>NanoDrop</w:t>
      </w:r>
      <w:proofErr w:type="spellEnd"/>
      <w:r w:rsidR="00FB7AB7" w:rsidRPr="00D60632">
        <w:t xml:space="preserve"> </w:t>
      </w:r>
      <w:r w:rsidR="00372227" w:rsidRPr="00D60632">
        <w:t>spectrophotometer</w:t>
      </w:r>
      <w:r w:rsidR="00F45D78" w:rsidRPr="00D60632">
        <w:t xml:space="preserve"> and adjusted to </w:t>
      </w:r>
      <w:r w:rsidR="00BF7E57" w:rsidRPr="00D60632">
        <w:t xml:space="preserve">be at </w:t>
      </w:r>
      <w:r w:rsidR="00F45D78" w:rsidRPr="00D60632">
        <w:t>10</w:t>
      </w:r>
      <w:r w:rsidR="00AC33D4" w:rsidRPr="00D60632">
        <w:t>–</w:t>
      </w:r>
      <w:r w:rsidR="00F45D78" w:rsidRPr="00D60632">
        <w:t xml:space="preserve">20 ng/µL. </w:t>
      </w:r>
    </w:p>
    <w:p w14:paraId="54798DBA" w14:textId="77777777" w:rsidR="00372227" w:rsidRPr="00D60632" w:rsidRDefault="00372227" w:rsidP="001521C2">
      <w:pPr>
        <w:rPr>
          <w:b/>
          <w:bCs/>
        </w:rPr>
      </w:pPr>
      <w:r w:rsidRPr="00D60632">
        <w:rPr>
          <w:b/>
          <w:bCs/>
        </w:rPr>
        <w:t>High-throughput sequencing data analysis</w:t>
      </w:r>
    </w:p>
    <w:p w14:paraId="563F0358" w14:textId="77777777" w:rsidR="00CB5910" w:rsidRPr="00D60632" w:rsidRDefault="00372227" w:rsidP="001521C2">
      <w:r w:rsidRPr="00D60632">
        <w:t xml:space="preserve">Purified </w:t>
      </w:r>
      <w:r w:rsidR="00CB5910" w:rsidRPr="00D60632">
        <w:t xml:space="preserve">PCR products were ligated to Illumina </w:t>
      </w:r>
      <w:proofErr w:type="spellStart"/>
      <w:r w:rsidR="00CB5910" w:rsidRPr="00D60632">
        <w:t>TruSeq</w:t>
      </w:r>
      <w:proofErr w:type="spellEnd"/>
      <w:r w:rsidR="00CB5910" w:rsidRPr="00D60632">
        <w:t xml:space="preserve"> adaptors</w:t>
      </w:r>
      <w:r w:rsidRPr="00D60632">
        <w:t xml:space="preserve"> a</w:t>
      </w:r>
      <w:r w:rsidR="00CB5910" w:rsidRPr="00D60632">
        <w:t>nd purified using SPRI beads</w:t>
      </w:r>
      <w:r w:rsidRPr="00D60632">
        <w:t xml:space="preserve">. </w:t>
      </w:r>
      <w:r w:rsidR="00CB5910" w:rsidRPr="00D60632">
        <w:t>Libraries</w:t>
      </w:r>
      <w:r w:rsidRPr="00D60632">
        <w:t xml:space="preserve"> </w:t>
      </w:r>
      <w:r w:rsidR="00CB5910" w:rsidRPr="00D60632">
        <w:t xml:space="preserve">were prepared </w:t>
      </w:r>
      <w:r w:rsidR="00BF7E57" w:rsidRPr="00D60632">
        <w:t xml:space="preserve">at the IGI Sequencing Facility by </w:t>
      </w:r>
      <w:r w:rsidR="00CB5910" w:rsidRPr="00D60632">
        <w:t xml:space="preserve">using a </w:t>
      </w:r>
      <w:proofErr w:type="spellStart"/>
      <w:r w:rsidR="00CB5910" w:rsidRPr="00D60632">
        <w:t>TruSeq</w:t>
      </w:r>
      <w:proofErr w:type="spellEnd"/>
      <w:r w:rsidR="00CB5910" w:rsidRPr="00D60632">
        <w:t xml:space="preserve"> Nano HT kit (Illumina) according to the manufacturer’s</w:t>
      </w:r>
      <w:r w:rsidR="00BF7E57" w:rsidRPr="00D60632">
        <w:t xml:space="preserve"> g</w:t>
      </w:r>
      <w:r w:rsidR="00CB5910" w:rsidRPr="00D60632">
        <w:t>uidelines</w:t>
      </w:r>
      <w:r w:rsidRPr="00D60632">
        <w:t xml:space="preserve"> and </w:t>
      </w:r>
      <w:r w:rsidR="00CB5910" w:rsidRPr="00D60632">
        <w:t>using a final concentration of 1.36</w:t>
      </w:r>
      <w:r w:rsidR="00AC33D4" w:rsidRPr="00D60632">
        <w:t>×</w:t>
      </w:r>
      <w:r w:rsidR="00CB5910" w:rsidRPr="00D60632">
        <w:t xml:space="preserve"> Sample Purification Beads (</w:t>
      </w:r>
      <w:proofErr w:type="spellStart"/>
      <w:r w:rsidR="00CB5910" w:rsidRPr="00D60632">
        <w:t>Ilumina</w:t>
      </w:r>
      <w:proofErr w:type="spellEnd"/>
      <w:r w:rsidR="00CB5910" w:rsidRPr="00D60632">
        <w:t>) following end repair for further size selection</w:t>
      </w:r>
      <w:r w:rsidR="00C55162" w:rsidRPr="00D60632">
        <w:t xml:space="preserve"> and </w:t>
      </w:r>
      <w:r w:rsidR="00CB5910" w:rsidRPr="00D60632">
        <w:t xml:space="preserve">followed by high-throughput sequencing with the </w:t>
      </w:r>
      <w:proofErr w:type="spellStart"/>
      <w:r w:rsidR="00CB5910" w:rsidRPr="00D60632">
        <w:t>MiSeq</w:t>
      </w:r>
      <w:proofErr w:type="spellEnd"/>
      <w:r w:rsidR="00CB5910" w:rsidRPr="00D60632">
        <w:t xml:space="preserve"> platform.</w:t>
      </w:r>
    </w:p>
    <w:p w14:paraId="4A701A97" w14:textId="77777777" w:rsidR="00AC33D4" w:rsidRDefault="00372227" w:rsidP="001521C2">
      <w:pPr>
        <w:rPr>
          <w:color w:val="000000"/>
        </w:rPr>
      </w:pPr>
      <w:r w:rsidRPr="00D60632">
        <w:t>S</w:t>
      </w:r>
      <w:r w:rsidR="00CB5910" w:rsidRPr="00D60632">
        <w:t xml:space="preserve">amples were deep sequenced on an Illumina </w:t>
      </w:r>
      <w:proofErr w:type="spellStart"/>
      <w:r w:rsidR="00CB5910" w:rsidRPr="00D60632">
        <w:t>Miseq</w:t>
      </w:r>
      <w:proofErr w:type="spellEnd"/>
      <w:r w:rsidR="00CB5910" w:rsidRPr="00D60632">
        <w:t xml:space="preserve"> at 300 bp paired-end reads to a depth</w:t>
      </w:r>
      <w:r w:rsidRPr="00D60632">
        <w:t xml:space="preserve"> </w:t>
      </w:r>
      <w:r w:rsidR="00CB5910" w:rsidRPr="00D60632">
        <w:t xml:space="preserve">of </w:t>
      </w:r>
      <w:r w:rsidR="00AC33D4" w:rsidRPr="00D60632">
        <w:t>≥ </w:t>
      </w:r>
      <w:r w:rsidR="00CB5910" w:rsidRPr="00D60632">
        <w:t xml:space="preserve">10,000 reads. </w:t>
      </w:r>
      <w:r w:rsidR="00AC33D4" w:rsidRPr="00D60632">
        <w:t>As described previously (1), e</w:t>
      </w:r>
      <w:r w:rsidR="00CB5910" w:rsidRPr="00D60632">
        <w:t>ditin</w:t>
      </w:r>
      <w:r w:rsidR="00AC33D4" w:rsidRPr="00D60632">
        <w:t>g outcomes were assessed using C</w:t>
      </w:r>
      <w:r w:rsidR="00CB5910" w:rsidRPr="00D60632">
        <w:t>ortado v1.0</w:t>
      </w:r>
      <w:r w:rsidRPr="00D60632">
        <w:t xml:space="preserve"> </w:t>
      </w:r>
      <w:r w:rsidR="00CB5910" w:rsidRPr="00D60632">
        <w:t>(</w:t>
      </w:r>
      <w:hyperlink r:id="rId6" w:history="1">
        <w:r w:rsidR="00CB5910" w:rsidRPr="00D60632">
          <w:rPr>
            <w:rStyle w:val="Hipervnculo"/>
          </w:rPr>
          <w:t>https://github.com/staciawyman/cortado</w:t>
        </w:r>
      </w:hyperlink>
      <w:r w:rsidR="00CB5910" w:rsidRPr="00D60632">
        <w:t>)</w:t>
      </w:r>
      <w:r w:rsidR="00F45D78" w:rsidRPr="00D60632">
        <w:t xml:space="preserve">. Sequences </w:t>
      </w:r>
      <w:r w:rsidR="00AC33D4" w:rsidRPr="00D60632">
        <w:t>were adaptor-</w:t>
      </w:r>
      <w:r w:rsidR="00CB5910" w:rsidRPr="00D60632">
        <w:t>trimmed and then joined</w:t>
      </w:r>
      <w:r w:rsidRPr="00D60632">
        <w:t xml:space="preserve"> </w:t>
      </w:r>
      <w:r w:rsidR="00CB5910" w:rsidRPr="00D60632">
        <w:t>before performing a global alignment between reads and the reference sequence using NEEDLE</w:t>
      </w:r>
      <w:r w:rsidRPr="00D60632">
        <w:t xml:space="preserve"> </w:t>
      </w:r>
      <w:r w:rsidR="00CB5910" w:rsidRPr="00D60632">
        <w:t>(</w:t>
      </w:r>
      <w:r w:rsidR="00F45D78" w:rsidRPr="00D60632">
        <w:t>2</w:t>
      </w:r>
      <w:r w:rsidRPr="00D60632">
        <w:t>)</w:t>
      </w:r>
      <w:r w:rsidR="00CB5910" w:rsidRPr="00D60632">
        <w:t xml:space="preserve">. Indel </w:t>
      </w:r>
      <w:r w:rsidR="00CB5910" w:rsidRPr="00D60632">
        <w:lastRenderedPageBreak/>
        <w:t>rates were calculated as</w:t>
      </w:r>
      <w:r w:rsidR="00AC33D4" w:rsidRPr="00D60632">
        <w:t xml:space="preserve"> follows:</w:t>
      </w:r>
      <w:r w:rsidR="00CB5910" w:rsidRPr="00D60632">
        <w:t xml:space="preserve"> any reads in which an insertion or deletion overlaps the cut</w:t>
      </w:r>
      <w:r w:rsidRPr="00D60632">
        <w:t xml:space="preserve"> </w:t>
      </w:r>
      <w:r w:rsidR="00CB5910" w:rsidRPr="00D60632">
        <w:t>site or occurs within a 3 base pair window around the cut site, normalized to the total number of</w:t>
      </w:r>
      <w:r w:rsidRPr="00D60632">
        <w:t xml:space="preserve"> </w:t>
      </w:r>
      <w:r w:rsidR="00CB5910" w:rsidRPr="00D60632">
        <w:t>aligned reads</w:t>
      </w:r>
      <w:r w:rsidRPr="00D60632">
        <w:t xml:space="preserve">. </w:t>
      </w:r>
    </w:p>
    <w:p w14:paraId="49B8E19B" w14:textId="5FCDA3FD" w:rsidR="00AC33D4" w:rsidRDefault="00AC33D4" w:rsidP="001521C2">
      <w:pPr>
        <w:autoSpaceDE w:val="0"/>
        <w:autoSpaceDN w:val="0"/>
        <w:adjustRightInd w:val="0"/>
        <w:spacing w:after="120"/>
        <w:rPr>
          <w:rFonts w:cs="Arial"/>
          <w:color w:val="000000"/>
        </w:rPr>
      </w:pPr>
    </w:p>
    <w:p w14:paraId="6F1915A6" w14:textId="77777777" w:rsidR="00DE0116" w:rsidRPr="00AC33D4" w:rsidRDefault="00DE0116" w:rsidP="001521C2">
      <w:pPr>
        <w:autoSpaceDE w:val="0"/>
        <w:autoSpaceDN w:val="0"/>
        <w:adjustRightInd w:val="0"/>
        <w:spacing w:after="120"/>
        <w:rPr>
          <w:rFonts w:cs="Arial"/>
          <w:color w:val="000000"/>
        </w:rPr>
      </w:pPr>
    </w:p>
    <w:p w14:paraId="43346FBB" w14:textId="77777777" w:rsidR="001521C2" w:rsidRDefault="00F45D78" w:rsidP="001521C2">
      <w:pPr>
        <w:pStyle w:val="Prrafodelista"/>
        <w:numPr>
          <w:ilvl w:val="0"/>
          <w:numId w:val="1"/>
        </w:numPr>
        <w:rPr>
          <w:rFonts w:cs="Arial"/>
          <w:color w:val="7F7F7F" w:themeColor="text1" w:themeTint="80"/>
        </w:rPr>
      </w:pP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</w:rPr>
        <w:t>Wienert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</w:rPr>
        <w:t xml:space="preserve"> B, Wyman SK, Richardson CD, et al. Unbiased detection of CRISPR off-targets in vivo using DISCOVER-Seq. </w:t>
      </w:r>
      <w:r w:rsidRPr="001521C2">
        <w:rPr>
          <w:rFonts w:cs="Arial"/>
          <w:i/>
          <w:iCs/>
          <w:color w:val="7F7F7F" w:themeColor="text1" w:themeTint="80"/>
          <w:sz w:val="20"/>
          <w:szCs w:val="20"/>
        </w:rPr>
        <w:t>Science</w:t>
      </w:r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</w:rPr>
        <w:t>. 2019;364(6437):286-289. doi:10.1126/science.aav9023</w:t>
      </w:r>
    </w:p>
    <w:p w14:paraId="6F2333DD" w14:textId="77777777" w:rsidR="001521C2" w:rsidRDefault="00F45D78" w:rsidP="001521C2">
      <w:pPr>
        <w:pStyle w:val="Prrafodelista"/>
        <w:numPr>
          <w:ilvl w:val="0"/>
          <w:numId w:val="1"/>
        </w:numPr>
        <w:rPr>
          <w:rFonts w:cs="Arial"/>
          <w:color w:val="7F7F7F" w:themeColor="text1" w:themeTint="80"/>
        </w:rPr>
      </w:pPr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</w:rPr>
        <w:t xml:space="preserve">Li W, Cowley A,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</w:rPr>
        <w:t>Uludag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</w:rPr>
        <w:t xml:space="preserve"> M, et al. The EMBL-EBI bioinformatics web and programmatic tools framework. </w:t>
      </w:r>
      <w:r w:rsidRPr="001521C2">
        <w:rPr>
          <w:rFonts w:cs="Arial"/>
          <w:i/>
          <w:iCs/>
          <w:color w:val="7F7F7F" w:themeColor="text1" w:themeTint="80"/>
          <w:sz w:val="20"/>
          <w:szCs w:val="20"/>
        </w:rPr>
        <w:t>Nucleic Acids Res</w:t>
      </w:r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</w:rPr>
        <w:t>. 2015;43(W1):W580-W584. doi:10.1093/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</w:rPr>
        <w:t>nar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</w:rPr>
        <w:t>/gkv279</w:t>
      </w:r>
    </w:p>
    <w:p w14:paraId="72265CBD" w14:textId="4677707D" w:rsidR="00355834" w:rsidRPr="001521C2" w:rsidRDefault="00355834" w:rsidP="001521C2">
      <w:pPr>
        <w:pStyle w:val="Prrafodelista"/>
        <w:numPr>
          <w:ilvl w:val="0"/>
          <w:numId w:val="1"/>
        </w:numPr>
        <w:rPr>
          <w:rFonts w:cs="Arial"/>
          <w:color w:val="7F7F7F" w:themeColor="text1" w:themeTint="80"/>
        </w:rPr>
      </w:pP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Rouet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R,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Thuma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BA, Roy MD, Lintner NG,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Rubitski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DM, Finley JE,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Wisniewska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HM,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Mendonsa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R, Hirsh A, de Oñate L,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Compte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Barrón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J, McLellan TJ,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Bellenger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J, Feng X, Varghese A,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Chrunyk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BA,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Borzilleri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K,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Hesp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KD, Zhou K, Ma N, Tu M,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Dullea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R, McClure KF, Wilson RC, Liras S,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Mascitti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V,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Doudna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JA. Receptor-Mediated Delivery of CRISPR-Cas9 Endonuclease for Cell-Type-Specific Gene Editing. J Am Chem Soc. 2018 May 30;140(21):6596-6603.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doi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: 10.1021/jacs.8b01551. </w:t>
      </w:r>
      <w:proofErr w:type="spellStart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>Epub</w:t>
      </w:r>
      <w:proofErr w:type="spellEnd"/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eastAsia="es-ES_tradnl"/>
        </w:rPr>
        <w:t xml:space="preserve"> 2018 May 18. </w:t>
      </w:r>
      <w:r w:rsidRPr="001521C2">
        <w:rPr>
          <w:rFonts w:cs="Arial"/>
          <w:color w:val="7F7F7F" w:themeColor="text1" w:themeTint="80"/>
          <w:sz w:val="20"/>
          <w:szCs w:val="20"/>
          <w:shd w:val="clear" w:color="auto" w:fill="FFFFFF"/>
          <w:lang w:val="es-US" w:eastAsia="es-ES_tradnl"/>
        </w:rPr>
        <w:t>PMID: 29668265; PMCID: PMC6002863.</w:t>
      </w:r>
    </w:p>
    <w:p w14:paraId="119B7966" w14:textId="479F52FF" w:rsidR="00D60632" w:rsidRPr="00355834" w:rsidRDefault="00D60632" w:rsidP="001521C2">
      <w:pPr>
        <w:pStyle w:val="Prrafodelista"/>
        <w:ind w:left="0"/>
        <w:rPr>
          <w:rFonts w:cs="Arial"/>
        </w:rPr>
      </w:pPr>
    </w:p>
    <w:sectPr w:rsidR="00D60632" w:rsidRPr="00355834" w:rsidSect="00CA4ADF">
      <w:pgSz w:w="12240" w:h="15840"/>
      <w:pgMar w:top="720" w:right="90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2DA"/>
    <w:multiLevelType w:val="hybridMultilevel"/>
    <w:tmpl w:val="98DA5C26"/>
    <w:lvl w:ilvl="0" w:tplc="B3D8FA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30303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9705E"/>
    <w:multiLevelType w:val="multilevel"/>
    <w:tmpl w:val="47B8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41723">
    <w:abstractNumId w:val="0"/>
  </w:num>
  <w:num w:numId="2" w16cid:durableId="11725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10"/>
    <w:rsid w:val="00013304"/>
    <w:rsid w:val="00022B69"/>
    <w:rsid w:val="00027562"/>
    <w:rsid w:val="00043C2E"/>
    <w:rsid w:val="001257B0"/>
    <w:rsid w:val="001521C2"/>
    <w:rsid w:val="00355834"/>
    <w:rsid w:val="00372227"/>
    <w:rsid w:val="003C44D4"/>
    <w:rsid w:val="003D34A8"/>
    <w:rsid w:val="005B2337"/>
    <w:rsid w:val="0060475A"/>
    <w:rsid w:val="00740EA1"/>
    <w:rsid w:val="007A45FB"/>
    <w:rsid w:val="008110CA"/>
    <w:rsid w:val="009930BD"/>
    <w:rsid w:val="00A5438B"/>
    <w:rsid w:val="00AC33D4"/>
    <w:rsid w:val="00B35008"/>
    <w:rsid w:val="00B90AB8"/>
    <w:rsid w:val="00BB71E8"/>
    <w:rsid w:val="00BE18B0"/>
    <w:rsid w:val="00BF7E57"/>
    <w:rsid w:val="00C26726"/>
    <w:rsid w:val="00C55162"/>
    <w:rsid w:val="00CA4ADF"/>
    <w:rsid w:val="00CB5910"/>
    <w:rsid w:val="00D60632"/>
    <w:rsid w:val="00DE0116"/>
    <w:rsid w:val="00F04D5B"/>
    <w:rsid w:val="00F45D78"/>
    <w:rsid w:val="00FB7AB7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A769"/>
  <w15:docId w15:val="{98BDC92D-6435-DB45-9349-6AC2B48D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32"/>
    <w:rPr>
      <w:rFonts w:ascii="Arial" w:hAnsi="Arial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A45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B59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910"/>
    <w:rPr>
      <w:rFonts w:ascii="Arial" w:hAnsi="Arial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B5910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CB59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Fuentedeprrafopredeter"/>
    <w:rsid w:val="00CB5910"/>
  </w:style>
  <w:style w:type="character" w:customStyle="1" w:styleId="apple-converted-space">
    <w:name w:val="apple-converted-space"/>
    <w:basedOn w:val="Fuentedeprrafopredeter"/>
    <w:rsid w:val="00CB5910"/>
  </w:style>
  <w:style w:type="character" w:customStyle="1" w:styleId="underline">
    <w:name w:val="underline"/>
    <w:basedOn w:val="Fuentedeprrafopredeter"/>
    <w:rsid w:val="00CB5910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CB591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A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45D7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E18B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5438B"/>
    <w:rPr>
      <w:rFonts w:ascii="Arial" w:hAnsi="Arial"/>
      <w:sz w:val="22"/>
      <w:szCs w:val="22"/>
    </w:rPr>
  </w:style>
  <w:style w:type="character" w:customStyle="1" w:styleId="authors-list-item">
    <w:name w:val="authors-list-item"/>
    <w:basedOn w:val="Fuentedeprrafopredeter"/>
    <w:rsid w:val="00DE0116"/>
  </w:style>
  <w:style w:type="character" w:customStyle="1" w:styleId="comma">
    <w:name w:val="comma"/>
    <w:basedOn w:val="Fuentedeprrafopredeter"/>
    <w:rsid w:val="00DE0116"/>
  </w:style>
  <w:style w:type="character" w:customStyle="1" w:styleId="author-sup-separator">
    <w:name w:val="author-sup-separator"/>
    <w:basedOn w:val="Fuentedeprrafopredeter"/>
    <w:rsid w:val="00DE0116"/>
  </w:style>
  <w:style w:type="character" w:customStyle="1" w:styleId="title">
    <w:name w:val="title"/>
    <w:basedOn w:val="Fuentedeprrafopredeter"/>
    <w:rsid w:val="00DE0116"/>
  </w:style>
  <w:style w:type="character" w:customStyle="1" w:styleId="identifier">
    <w:name w:val="identifier"/>
    <w:basedOn w:val="Fuentedeprrafopredeter"/>
    <w:rsid w:val="00DE0116"/>
  </w:style>
  <w:style w:type="character" w:customStyle="1" w:styleId="id-label">
    <w:name w:val="id-label"/>
    <w:basedOn w:val="Fuentedeprrafopredeter"/>
    <w:rsid w:val="00DE0116"/>
  </w:style>
  <w:style w:type="character" w:styleId="Textoennegrita">
    <w:name w:val="Strong"/>
    <w:basedOn w:val="Fuentedeprrafopredeter"/>
    <w:uiPriority w:val="22"/>
    <w:qFormat/>
    <w:rsid w:val="00DE0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24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staciawyman/cortad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pubs.acs.org/doi/10.1021/jacs.8b0155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B0B740ECD7F418164696BD5D45C61" ma:contentTypeVersion="16" ma:contentTypeDescription="Create a new document." ma:contentTypeScope="" ma:versionID="a5c5d7a47d49c3a9e8877a8f98704af3">
  <xsd:schema xmlns:xsd="http://www.w3.org/2001/XMLSchema" xmlns:xs="http://www.w3.org/2001/XMLSchema" xmlns:p="http://schemas.microsoft.com/office/2006/metadata/properties" xmlns:ns2="1ede3b14-c407-4f78-a408-31a7f74c0476" xmlns:ns3="6d9280eb-d935-48c4-a9fd-fd18a0df2635" targetNamespace="http://schemas.microsoft.com/office/2006/metadata/properties" ma:root="true" ma:fieldsID="010a9214fda009d5579bf84dd4bef4df" ns2:_="" ns3:_="">
    <xsd:import namespace="1ede3b14-c407-4f78-a408-31a7f74c0476"/>
    <xsd:import namespace="6d9280eb-d935-48c4-a9fd-fd18a0df2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e3b14-c407-4f78-a408-31a7f74c0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ff210b-1a75-4f95-bf42-e73e2711a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280eb-d935-48c4-a9fd-fd18a0df2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67233-d297-4e01-a813-c986068440d3}" ma:internalName="TaxCatchAll" ma:showField="CatchAllData" ma:web="6d9280eb-d935-48c4-a9fd-fd18a0df2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de3b14-c407-4f78-a408-31a7f74c0476">
      <Terms xmlns="http://schemas.microsoft.com/office/infopath/2007/PartnerControls"/>
    </lcf76f155ced4ddcb4097134ff3c332f>
    <TaxCatchAll xmlns="6d9280eb-d935-48c4-a9fd-fd18a0df2635" xsi:nil="true"/>
  </documentManagement>
</p:properties>
</file>

<file path=customXml/itemProps1.xml><?xml version="1.0" encoding="utf-8"?>
<ds:datastoreItem xmlns:ds="http://schemas.openxmlformats.org/officeDocument/2006/customXml" ds:itemID="{00D83D00-A69B-4FBF-AAB4-8395A91E2E1D}"/>
</file>

<file path=customXml/itemProps2.xml><?xml version="1.0" encoding="utf-8"?>
<ds:datastoreItem xmlns:ds="http://schemas.openxmlformats.org/officeDocument/2006/customXml" ds:itemID="{026FC5BB-8EEA-4944-8248-FAD607B1F51D}"/>
</file>

<file path=customXml/itemProps3.xml><?xml version="1.0" encoding="utf-8"?>
<ds:datastoreItem xmlns:ds="http://schemas.openxmlformats.org/officeDocument/2006/customXml" ds:itemID="{661F62C9-2F30-4058-9BAA-570A270B23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de Oñate</dc:creator>
  <cp:keywords/>
  <dc:description/>
  <cp:lastModifiedBy>Lorena de Oñate</cp:lastModifiedBy>
  <cp:revision>4</cp:revision>
  <dcterms:created xsi:type="dcterms:W3CDTF">2022-07-27T18:25:00Z</dcterms:created>
  <dcterms:modified xsi:type="dcterms:W3CDTF">2022-07-27T18:41:00Z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0x010100176B0B740ECD7F418164696BD5D45C61</vt:lpwstr>
  </property>
</Properties>
</file>