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3B22B20E" w:rsidP="3B22B20E" w:rsidRDefault="3B22B20E" w14:paraId="45CE112C" w14:textId="78F80DA1">
      <w:pPr>
        <w:pStyle w:val="Normal"/>
        <w:bidi w:val="0"/>
        <w:spacing w:before="0" w:beforeAutospacing="off" w:after="0" w:afterAutospacing="off" w:line="480" w:lineRule="auto"/>
        <w:ind w:left="0" w:right="0"/>
        <w:jc w:val="left"/>
        <w:rPr>
          <w:rFonts w:ascii="Arial" w:hAnsi="Arial" w:eastAsia="Arial" w:cs="Arial"/>
          <w:b w:val="1"/>
          <w:bCs w:val="1"/>
          <w:i w:val="0"/>
          <w:iCs w:val="0"/>
          <w:color w:val="222222"/>
          <w:sz w:val="24"/>
          <w:szCs w:val="24"/>
        </w:rPr>
      </w:pPr>
      <w:r w:rsidRPr="3B22B20E" w:rsidR="3B22B20E">
        <w:rPr>
          <w:rFonts w:ascii="Arial" w:hAnsi="Arial" w:eastAsia="Arial" w:cs="Arial"/>
          <w:b w:val="1"/>
          <w:bCs w:val="1"/>
          <w:i w:val="0"/>
          <w:iCs w:val="0"/>
          <w:color w:val="222222"/>
          <w:sz w:val="24"/>
          <w:szCs w:val="24"/>
        </w:rPr>
        <w:t>Method for Tier 2 Reporter Validation</w:t>
      </w:r>
    </w:p>
    <w:p w:rsidR="3B22B20E" w:rsidP="3B22B20E" w:rsidRDefault="3B22B20E" w14:paraId="6FAA8A00" w14:textId="4332F295">
      <w:pPr>
        <w:pStyle w:val="Normal"/>
        <w:bidi w:val="0"/>
        <w:spacing w:before="0" w:beforeAutospacing="off" w:after="0" w:afterAutospacing="off" w:line="480" w:lineRule="auto"/>
        <w:ind w:left="0" w:right="0"/>
        <w:jc w:val="left"/>
        <w:rPr>
          <w:rFonts w:ascii="Arial" w:hAnsi="Arial" w:eastAsia="Arial" w:cs="Arial"/>
          <w:b w:val="1"/>
          <w:bCs w:val="1"/>
          <w:i w:val="0"/>
          <w:iCs w:val="0"/>
          <w:color w:val="222222"/>
          <w:sz w:val="24"/>
          <w:szCs w:val="24"/>
        </w:rPr>
      </w:pPr>
      <w:r w:rsidRPr="3B22B20E" w:rsidR="3B22B20E">
        <w:rPr>
          <w:rFonts w:ascii="Arial" w:hAnsi="Arial" w:eastAsia="Arial" w:cs="Arial"/>
          <w:b w:val="1"/>
          <w:bCs w:val="1"/>
          <w:i w:val="0"/>
          <w:iCs w:val="0"/>
          <w:color w:val="222222"/>
          <w:sz w:val="24"/>
          <w:szCs w:val="24"/>
        </w:rPr>
        <w:t>JAX Small Animal Testing Center</w:t>
      </w:r>
    </w:p>
    <w:p w:rsidR="3B22B20E" w:rsidP="3B22B20E" w:rsidRDefault="3B22B20E" w14:paraId="53E8847F" w14:textId="417D8E3D">
      <w:pPr>
        <w:pStyle w:val="Normal"/>
        <w:bidi w:val="0"/>
        <w:spacing w:before="0" w:beforeAutospacing="off" w:after="0" w:afterAutospacing="off" w:line="480" w:lineRule="auto"/>
        <w:ind w:left="0" w:right="0"/>
        <w:jc w:val="left"/>
        <w:rPr>
          <w:rFonts w:ascii="Times New Roman" w:hAnsi="Times New Roman" w:eastAsia="Times New Roman" w:cs="Times New Roman"/>
          <w:b w:val="1"/>
          <w:bCs w:val="1"/>
          <w:i w:val="0"/>
          <w:iCs w:val="0"/>
          <w:color w:val="222222"/>
          <w:sz w:val="24"/>
          <w:szCs w:val="24"/>
        </w:rPr>
      </w:pPr>
      <w:r w:rsidRPr="3B22B20E" w:rsidR="3B22B20E">
        <w:rPr>
          <w:rFonts w:ascii="Arial" w:hAnsi="Arial" w:eastAsia="Arial" w:cs="Arial"/>
          <w:b w:val="1"/>
          <w:bCs w:val="1"/>
          <w:i w:val="0"/>
          <w:iCs w:val="0"/>
          <w:color w:val="222222"/>
          <w:sz w:val="24"/>
          <w:szCs w:val="24"/>
        </w:rPr>
        <w:t xml:space="preserve">Murray Lab, SCGE </w:t>
      </w:r>
      <w:r w:rsidRPr="3B22B20E" w:rsidR="3B22B20E">
        <w:rPr>
          <w:rFonts w:ascii="Arial" w:hAnsi="Arial" w:eastAsia="Arial" w:cs="Arial"/>
          <w:b w:val="1"/>
          <w:bCs w:val="1"/>
          <w:i w:val="0"/>
          <w:iCs w:val="0"/>
          <w:color w:val="222222"/>
          <w:sz w:val="24"/>
          <w:szCs w:val="24"/>
        </w:rPr>
        <w:t>Consortium</w:t>
      </w:r>
    </w:p>
    <w:p w:rsidR="3B22B20E" w:rsidP="3B22B20E" w:rsidRDefault="3B22B20E" w14:paraId="23C76DDB" w14:textId="19B81E9F">
      <w:pPr>
        <w:shd w:val="clear" w:color="auto" w:fill="FFFFFF" w:themeFill="background1"/>
        <w:spacing w:line="480" w:lineRule="auto"/>
        <w:rPr>
          <w:rFonts w:ascii="Arial" w:hAnsi="Arial" w:cs="Arial"/>
          <w:b w:val="1"/>
          <w:bCs w:val="1"/>
          <w:i w:val="1"/>
          <w:iCs w:val="1"/>
          <w:color w:val="222222"/>
          <w:sz w:val="22"/>
          <w:szCs w:val="22"/>
        </w:rPr>
      </w:pPr>
    </w:p>
    <w:p w:rsidR="00C30F73" w:rsidP="00C30F73" w:rsidRDefault="00C30F73" w14:paraId="117976D3" w14:textId="77777777">
      <w:pPr>
        <w:shd w:val="clear" w:color="auto" w:fill="FFFFFF"/>
        <w:spacing w:line="480" w:lineRule="auto"/>
        <w:rPr>
          <w:rFonts w:ascii="Arial" w:hAnsi="Arial" w:cs="Arial"/>
          <w:color w:val="222222"/>
          <w:sz w:val="22"/>
          <w:szCs w:val="22"/>
        </w:rPr>
      </w:pPr>
      <w:r w:rsidRPr="0022391C">
        <w:rPr>
          <w:rFonts w:ascii="Arial" w:hAnsi="Arial" w:cs="Arial"/>
          <w:b/>
          <w:bCs/>
          <w:i/>
          <w:iCs/>
          <w:color w:val="222222"/>
          <w:sz w:val="22"/>
          <w:szCs w:val="22"/>
        </w:rPr>
        <w:t>Guide RNA annealing and ribonucleoprotein</w:t>
      </w:r>
      <w:r>
        <w:rPr>
          <w:rFonts w:ascii="Arial" w:hAnsi="Arial" w:cs="Arial"/>
          <w:b/>
          <w:bCs/>
          <w:i/>
          <w:iCs/>
          <w:color w:val="222222"/>
          <w:sz w:val="22"/>
          <w:szCs w:val="22"/>
        </w:rPr>
        <w:t xml:space="preserve"> (</w:t>
      </w:r>
      <w:proofErr w:type="spellStart"/>
      <w:r>
        <w:rPr>
          <w:rFonts w:ascii="Arial" w:hAnsi="Arial" w:cs="Arial"/>
          <w:b/>
          <w:bCs/>
          <w:i/>
          <w:iCs/>
          <w:color w:val="222222"/>
          <w:sz w:val="22"/>
          <w:szCs w:val="22"/>
        </w:rPr>
        <w:t>RNP</w:t>
      </w:r>
      <w:proofErr w:type="spellEnd"/>
      <w:r>
        <w:rPr>
          <w:rFonts w:ascii="Arial" w:hAnsi="Arial" w:cs="Arial"/>
          <w:b/>
          <w:bCs/>
          <w:i/>
          <w:iCs/>
          <w:color w:val="222222"/>
          <w:sz w:val="22"/>
          <w:szCs w:val="22"/>
        </w:rPr>
        <w:t>)</w:t>
      </w:r>
      <w:r w:rsidRPr="0022391C">
        <w:rPr>
          <w:rFonts w:ascii="Arial" w:hAnsi="Arial" w:cs="Arial"/>
          <w:b/>
          <w:bCs/>
          <w:i/>
          <w:iCs/>
          <w:color w:val="222222"/>
          <w:sz w:val="22"/>
          <w:szCs w:val="22"/>
        </w:rPr>
        <w:t xml:space="preserve"> complex formation</w:t>
      </w:r>
      <w:r w:rsidRPr="00287DEE">
        <w:rPr>
          <w:rFonts w:ascii="Arial" w:hAnsi="Arial" w:cs="Arial"/>
          <w:i/>
          <w:iCs/>
          <w:color w:val="222222"/>
          <w:sz w:val="22"/>
          <w:szCs w:val="22"/>
        </w:rPr>
        <w:t>.</w:t>
      </w:r>
      <w:r w:rsidRPr="00287DEE">
        <w:rPr>
          <w:rFonts w:ascii="Arial" w:hAnsi="Arial" w:cs="Arial"/>
          <w:color w:val="222222"/>
          <w:sz w:val="22"/>
          <w:szCs w:val="22"/>
        </w:rPr>
        <w:t xml:space="preserve"> </w:t>
      </w:r>
    </w:p>
    <w:p w:rsidR="00C30F73" w:rsidP="3B22B20E" w:rsidRDefault="00C30F73" w14:paraId="7BD038BE" w14:textId="1A3C967A">
      <w:pPr>
        <w:shd w:val="clear" w:color="auto" w:fill="FFFFFF" w:themeFill="background1"/>
        <w:spacing w:line="480" w:lineRule="auto"/>
        <w:rPr>
          <w:rFonts w:ascii="Arial" w:hAnsi="Arial" w:cs="Arial"/>
          <w:color w:val="222222"/>
          <w:sz w:val="22"/>
          <w:szCs w:val="22"/>
        </w:rPr>
      </w:pPr>
      <w:r w:rsidRPr="3B22B20E" w:rsidR="3B22B20E">
        <w:rPr>
          <w:rFonts w:ascii="Arial" w:hAnsi="Arial" w:cs="Arial"/>
          <w:color w:val="000000" w:themeColor="text1" w:themeTint="FF" w:themeShade="FF"/>
          <w:sz w:val="22"/>
          <w:szCs w:val="22"/>
        </w:rPr>
        <w:t xml:space="preserve">Reporter specific </w:t>
      </w:r>
      <w:r w:rsidRPr="3B22B20E" w:rsidR="3B22B20E">
        <w:rPr>
          <w:rFonts w:ascii="Arial" w:hAnsi="Arial" w:cs="Arial"/>
          <w:color w:val="222222"/>
          <w:sz w:val="22"/>
          <w:szCs w:val="22"/>
        </w:rPr>
        <w:t xml:space="preserve">crRNA is annealed with </w:t>
      </w:r>
      <w:proofErr w:type="spellStart"/>
      <w:r w:rsidRPr="3B22B20E" w:rsidR="3B22B20E">
        <w:rPr>
          <w:rFonts w:ascii="Arial" w:hAnsi="Arial" w:cs="Arial"/>
          <w:color w:val="222222"/>
          <w:sz w:val="22"/>
          <w:szCs w:val="22"/>
        </w:rPr>
        <w:t>trRNA</w:t>
      </w:r>
      <w:proofErr w:type="spellEnd"/>
      <w:r w:rsidRPr="3B22B20E" w:rsidR="3B22B20E">
        <w:rPr>
          <w:rFonts w:ascii="Arial" w:hAnsi="Arial" w:cs="Arial"/>
          <w:color w:val="222222"/>
          <w:sz w:val="22"/>
          <w:szCs w:val="22"/>
        </w:rPr>
        <w:t xml:space="preserve"> following IDT </w:t>
      </w:r>
      <w:proofErr w:type="spellStart"/>
      <w:r w:rsidRPr="3B22B20E" w:rsidR="3B22B20E">
        <w:rPr>
          <w:rFonts w:ascii="Arial" w:hAnsi="Arial" w:cs="Arial"/>
          <w:color w:val="222222"/>
          <w:sz w:val="22"/>
          <w:szCs w:val="22"/>
        </w:rPr>
        <w:t>AltR</w:t>
      </w:r>
      <w:proofErr w:type="spellEnd"/>
      <w:r w:rsidRPr="3B22B20E" w:rsidR="3B22B20E">
        <w:rPr>
          <w:rFonts w:ascii="Arial" w:hAnsi="Arial" w:cs="Arial"/>
          <w:color w:val="222222"/>
          <w:sz w:val="22"/>
          <w:szCs w:val="22"/>
        </w:rPr>
        <w:t xml:space="preserve"> System protocols. Briefly, both components are resuspended at 100 </w:t>
      </w:r>
      <w:proofErr w:type="spellStart"/>
      <w:r w:rsidRPr="3B22B20E" w:rsidR="3B22B20E">
        <w:rPr>
          <w:rFonts w:ascii="Arial" w:hAnsi="Arial" w:cs="Arial"/>
          <w:color w:val="222222"/>
          <w:sz w:val="22"/>
          <w:szCs w:val="22"/>
        </w:rPr>
        <w:t>μM</w:t>
      </w:r>
      <w:proofErr w:type="spellEnd"/>
      <w:r w:rsidRPr="3B22B20E" w:rsidR="3B22B20E">
        <w:rPr>
          <w:rFonts w:ascii="Arial" w:hAnsi="Arial" w:cs="Arial"/>
          <w:color w:val="222222"/>
          <w:sz w:val="22"/>
          <w:szCs w:val="22"/>
        </w:rPr>
        <w:t xml:space="preserve"> in IDT Duplex Buffer, combined in equal amounts, heated to 95</w:t>
      </w:r>
      <w:r w:rsidRPr="3B22B20E" w:rsidR="3B22B20E">
        <w:rPr>
          <w:rFonts w:ascii="Arial" w:hAnsi="Arial" w:cs="Arial"/>
          <w:color w:val="222222"/>
          <w:sz w:val="22"/>
          <w:szCs w:val="22"/>
        </w:rPr>
        <w:t>°</w:t>
      </w:r>
      <w:r w:rsidRPr="3B22B20E" w:rsidR="3B22B20E">
        <w:rPr>
          <w:rFonts w:ascii="Arial" w:hAnsi="Arial" w:cs="Arial"/>
          <w:color w:val="222222"/>
          <w:sz w:val="22"/>
          <w:szCs w:val="22"/>
        </w:rPr>
        <w:t xml:space="preserve">C for 5 mins, and allowed to cool passively to room temperature. Following this annealing step, concentration of annealed guide RNA is assayed by </w:t>
      </w:r>
      <w:proofErr w:type="spellStart"/>
      <w:r w:rsidRPr="3B22B20E" w:rsidR="3B22B20E">
        <w:rPr>
          <w:rFonts w:ascii="Arial" w:hAnsi="Arial" w:cs="Arial"/>
          <w:color w:val="222222"/>
          <w:sz w:val="22"/>
          <w:szCs w:val="22"/>
        </w:rPr>
        <w:t>NanoDrop</w:t>
      </w:r>
      <w:proofErr w:type="spellEnd"/>
      <w:r w:rsidRPr="3B22B20E" w:rsidR="3B22B20E">
        <w:rPr>
          <w:rFonts w:ascii="Arial" w:hAnsi="Arial" w:cs="Arial"/>
          <w:color w:val="222222"/>
          <w:sz w:val="22"/>
          <w:szCs w:val="22"/>
        </w:rPr>
        <w:t xml:space="preserve">. </w:t>
      </w:r>
      <w:proofErr w:type="spellStart"/>
      <w:r w:rsidRPr="3B22B20E" w:rsidR="3B22B20E">
        <w:rPr>
          <w:rFonts w:ascii="Arial" w:hAnsi="Arial" w:cs="Arial"/>
          <w:color w:val="222222"/>
          <w:sz w:val="22"/>
          <w:szCs w:val="22"/>
        </w:rPr>
        <w:t>Crispr:tracr</w:t>
      </w:r>
      <w:proofErr w:type="spellEnd"/>
      <w:r w:rsidRPr="3B22B20E" w:rsidR="3B22B20E">
        <w:rPr>
          <w:rFonts w:ascii="Arial" w:hAnsi="Arial" w:cs="Arial"/>
          <w:color w:val="222222"/>
          <w:sz w:val="22"/>
          <w:szCs w:val="22"/>
        </w:rPr>
        <w:t xml:space="preserve"> guide RNA hybrid is complexed with </w:t>
      </w:r>
      <w:proofErr w:type="spellStart"/>
      <w:r w:rsidRPr="3B22B20E" w:rsidR="3B22B20E">
        <w:rPr>
          <w:rFonts w:ascii="Arial" w:hAnsi="Arial" w:cs="Arial"/>
          <w:color w:val="222222"/>
          <w:sz w:val="22"/>
          <w:szCs w:val="22"/>
        </w:rPr>
        <w:t>AltR</w:t>
      </w:r>
      <w:proofErr w:type="spellEnd"/>
      <w:r w:rsidRPr="3B22B20E" w:rsidR="3B22B20E">
        <w:rPr>
          <w:rFonts w:ascii="Arial" w:hAnsi="Arial" w:cs="Arial"/>
          <w:color w:val="222222"/>
          <w:sz w:val="22"/>
          <w:szCs w:val="22"/>
        </w:rPr>
        <w:t xml:space="preserve"> Cas9 at 37</w:t>
      </w:r>
      <w:r w:rsidRPr="3B22B20E" w:rsidR="3B22B20E">
        <w:rPr>
          <w:rFonts w:ascii="Arial" w:hAnsi="Arial" w:cs="Arial"/>
          <w:color w:val="222222"/>
          <w:sz w:val="22"/>
          <w:szCs w:val="22"/>
        </w:rPr>
        <w:t>°</w:t>
      </w:r>
      <w:r w:rsidRPr="3B22B20E" w:rsidR="3B22B20E">
        <w:rPr>
          <w:rFonts w:ascii="Arial" w:hAnsi="Arial" w:cs="Arial"/>
          <w:color w:val="222222"/>
          <w:sz w:val="22"/>
          <w:szCs w:val="22"/>
        </w:rPr>
        <w:t>C for 15 mins in a thermocycler.</w:t>
      </w:r>
    </w:p>
    <w:p w:rsidRPr="00287DEE" w:rsidR="00C30F73" w:rsidP="00C30F73" w:rsidRDefault="00C30F73" w14:paraId="57134549" w14:textId="77777777">
      <w:pPr>
        <w:shd w:val="clear" w:color="auto" w:fill="FFFFFF"/>
        <w:spacing w:line="480" w:lineRule="auto"/>
        <w:rPr>
          <w:rFonts w:ascii="Arial" w:hAnsi="Arial" w:cs="Arial"/>
          <w:color w:val="222222"/>
          <w:sz w:val="22"/>
          <w:szCs w:val="22"/>
        </w:rPr>
      </w:pPr>
      <w:bookmarkStart w:name="_GoBack" w:id="0"/>
      <w:bookmarkEnd w:id="0"/>
    </w:p>
    <w:p w:rsidR="00D47F9B" w:rsidP="00D47F9B" w:rsidRDefault="00D47F9B" w14:paraId="3A30F4CA" w14:textId="63AC29C5">
      <w:pPr>
        <w:spacing w:line="480" w:lineRule="auto"/>
        <w:rPr>
          <w:rFonts w:ascii="Arial" w:hAnsi="Arial" w:cs="Arial"/>
          <w:color w:val="222222"/>
          <w:sz w:val="22"/>
          <w:szCs w:val="22"/>
        </w:rPr>
      </w:pPr>
      <w:r w:rsidRPr="0E704447" w:rsidR="0E704447">
        <w:rPr>
          <w:rFonts w:ascii="Arial" w:hAnsi="Arial" w:cs="Arial"/>
          <w:b w:val="1"/>
          <w:bCs w:val="1"/>
          <w:i w:val="1"/>
          <w:iCs w:val="1"/>
          <w:color w:val="222222"/>
          <w:sz w:val="22"/>
          <w:szCs w:val="22"/>
        </w:rPr>
        <w:t>CRISPR/Cas9 zygote electroporation for Tier2 Reporter Validation</w:t>
      </w:r>
      <w:r w:rsidRPr="0E704447" w:rsidR="0E704447">
        <w:rPr>
          <w:rFonts w:ascii="Arial" w:hAnsi="Arial" w:cs="Arial"/>
          <w:i w:val="1"/>
          <w:iCs w:val="1"/>
          <w:color w:val="222222"/>
          <w:sz w:val="22"/>
          <w:szCs w:val="22"/>
        </w:rPr>
        <w:t>.</w:t>
      </w:r>
      <w:r w:rsidRPr="0E704447" w:rsidR="0E704447">
        <w:rPr>
          <w:rFonts w:ascii="Arial" w:hAnsi="Arial" w:cs="Arial"/>
          <w:color w:val="222222"/>
          <w:sz w:val="22"/>
          <w:szCs w:val="22"/>
        </w:rPr>
        <w:t xml:space="preserve"> All mouse procedures were conducted according to relevant national and international guidelines (AALAC and IACUC) and have been approved by the Jackson Laboratory Animal Care and Use Committee.  For electroporation,1-cell zygotes from C57BL/6NJ or C57BL/6J female mice mated to homozygous reporter males were harvested and placed in a droplet of 10 </w:t>
      </w:r>
      <w:proofErr w:type="spellStart"/>
      <w:r w:rsidRPr="0E704447" w:rsidR="0E704447">
        <w:rPr>
          <w:rFonts w:ascii="Arial" w:hAnsi="Arial" w:cs="Arial"/>
          <w:color w:val="222222"/>
          <w:sz w:val="22"/>
          <w:szCs w:val="22"/>
        </w:rPr>
        <w:t>μl</w:t>
      </w:r>
      <w:proofErr w:type="spellEnd"/>
      <w:r w:rsidRPr="0E704447" w:rsidR="0E704447">
        <w:rPr>
          <w:rFonts w:ascii="Arial" w:hAnsi="Arial" w:cs="Arial"/>
          <w:color w:val="222222"/>
          <w:sz w:val="22"/>
          <w:szCs w:val="22"/>
        </w:rPr>
        <w:t xml:space="preserve"> TE with AltR-Cas9 (500 ng/</w:t>
      </w:r>
      <w:proofErr w:type="spellStart"/>
      <w:r w:rsidRPr="0E704447" w:rsidR="0E704447">
        <w:rPr>
          <w:rFonts w:ascii="Arial" w:hAnsi="Arial" w:cs="Arial"/>
          <w:color w:val="222222"/>
          <w:sz w:val="22"/>
          <w:szCs w:val="22"/>
        </w:rPr>
        <w:t>μl</w:t>
      </w:r>
      <w:proofErr w:type="spellEnd"/>
      <w:r w:rsidRPr="0E704447" w:rsidR="0E704447">
        <w:rPr>
          <w:rFonts w:ascii="Arial" w:hAnsi="Arial" w:cs="Arial"/>
          <w:color w:val="222222"/>
          <w:sz w:val="22"/>
          <w:szCs w:val="22"/>
        </w:rPr>
        <w:t>) and guide RNA (600 ng/</w:t>
      </w:r>
      <w:proofErr w:type="spellStart"/>
      <w:r w:rsidRPr="0E704447" w:rsidR="0E704447">
        <w:rPr>
          <w:rFonts w:ascii="Arial" w:hAnsi="Arial" w:cs="Arial"/>
          <w:color w:val="222222"/>
          <w:sz w:val="22"/>
          <w:szCs w:val="22"/>
        </w:rPr>
        <w:t>μl</w:t>
      </w:r>
      <w:proofErr w:type="spellEnd"/>
      <w:r w:rsidRPr="0E704447" w:rsidR="0E704447">
        <w:rPr>
          <w:rFonts w:ascii="Arial" w:hAnsi="Arial" w:cs="Arial"/>
          <w:color w:val="222222"/>
          <w:sz w:val="22"/>
          <w:szCs w:val="22"/>
        </w:rPr>
        <w:t xml:space="preserve">) combined with 10 </w:t>
      </w:r>
      <w:proofErr w:type="spellStart"/>
      <w:r w:rsidRPr="0E704447" w:rsidR="0E704447">
        <w:rPr>
          <w:rFonts w:ascii="Arial" w:hAnsi="Arial" w:cs="Arial"/>
          <w:color w:val="222222"/>
          <w:sz w:val="22"/>
          <w:szCs w:val="22"/>
        </w:rPr>
        <w:t>μl</w:t>
      </w:r>
      <w:proofErr w:type="spellEnd"/>
      <w:r w:rsidRPr="0E704447" w:rsidR="0E704447">
        <w:rPr>
          <w:rFonts w:ascii="Arial" w:hAnsi="Arial" w:cs="Arial"/>
          <w:color w:val="222222"/>
          <w:sz w:val="22"/>
          <w:szCs w:val="22"/>
        </w:rPr>
        <w:t xml:space="preserve"> low serum media (Opti-Mem, Sigma-Millipore), and transferred to an electroporation cuvette (Harvard Apparatus) with a 1mm gap electrode. Using a BTX ECM830 Electro Square </w:t>
      </w:r>
      <w:proofErr w:type="spellStart"/>
      <w:r w:rsidRPr="0E704447" w:rsidR="0E704447">
        <w:rPr>
          <w:rFonts w:ascii="Arial" w:hAnsi="Arial" w:cs="Arial"/>
          <w:color w:val="222222"/>
          <w:sz w:val="22"/>
          <w:szCs w:val="22"/>
        </w:rPr>
        <w:t>Porator</w:t>
      </w:r>
      <w:proofErr w:type="spellEnd"/>
      <w:r w:rsidRPr="0E704447" w:rsidR="0E704447">
        <w:rPr>
          <w:rFonts w:ascii="Arial" w:hAnsi="Arial" w:cs="Arial"/>
          <w:color w:val="222222"/>
          <w:sz w:val="22"/>
          <w:szCs w:val="22"/>
        </w:rPr>
        <w:t xml:space="preserve"> (Harvard Apparatus), embryos were electroporated with six 3 </w:t>
      </w:r>
      <w:proofErr w:type="spellStart"/>
      <w:r w:rsidRPr="0E704447" w:rsidR="0E704447">
        <w:rPr>
          <w:rFonts w:ascii="Arial" w:hAnsi="Arial" w:cs="Arial"/>
          <w:color w:val="222222"/>
          <w:sz w:val="22"/>
          <w:szCs w:val="22"/>
        </w:rPr>
        <w:t>ms</w:t>
      </w:r>
      <w:proofErr w:type="spellEnd"/>
      <w:r w:rsidRPr="0E704447" w:rsidR="0E704447">
        <w:rPr>
          <w:rFonts w:ascii="Arial" w:hAnsi="Arial" w:cs="Arial"/>
          <w:color w:val="222222"/>
          <w:sz w:val="22"/>
          <w:szCs w:val="22"/>
        </w:rPr>
        <w:t xml:space="preserve"> pulses of 30V separated by 100 </w:t>
      </w:r>
      <w:proofErr w:type="spellStart"/>
      <w:r w:rsidRPr="0E704447" w:rsidR="0E704447">
        <w:rPr>
          <w:rFonts w:ascii="Arial" w:hAnsi="Arial" w:cs="Arial"/>
          <w:color w:val="222222"/>
          <w:sz w:val="22"/>
          <w:szCs w:val="22"/>
        </w:rPr>
        <w:t>ms</w:t>
      </w:r>
      <w:proofErr w:type="spellEnd"/>
      <w:r w:rsidRPr="0E704447" w:rsidR="0E704447">
        <w:rPr>
          <w:rFonts w:ascii="Arial" w:hAnsi="Arial" w:cs="Arial"/>
          <w:color w:val="222222"/>
          <w:sz w:val="22"/>
          <w:szCs w:val="22"/>
        </w:rPr>
        <w:t xml:space="preserve"> each. Oviduct transfers into pseudopregnant dams were performed immediately following electroporation. Pregnancies were allowed to progress to term and offspring were genotyped and sequenced (Sanger).  Animals with edits predicted to activate the reporter were mated to inbred females and at least 3 edited offspring per </w:t>
      </w:r>
      <w:proofErr w:type="gramStart"/>
      <w:r w:rsidRPr="0E704447" w:rsidR="0E704447">
        <w:rPr>
          <w:rFonts w:ascii="Arial" w:hAnsi="Arial" w:cs="Arial"/>
          <w:color w:val="222222"/>
          <w:sz w:val="22"/>
          <w:szCs w:val="22"/>
        </w:rPr>
        <w:t>sex  per</w:t>
      </w:r>
      <w:proofErr w:type="gramEnd"/>
      <w:r w:rsidRPr="0E704447" w:rsidR="0E704447">
        <w:rPr>
          <w:rFonts w:ascii="Arial" w:hAnsi="Arial" w:cs="Arial"/>
          <w:color w:val="222222"/>
          <w:sz w:val="22"/>
          <w:szCs w:val="22"/>
        </w:rPr>
        <w:t xml:space="preserve"> reporter subline are assessed.  Tissues from each animal are collected, fixed in 4% PFA or NBF for 2-4 hours, cryoprotected in 30% sucrose and embedded in OCT medium and frozen on dry ice. Tissues are </w:t>
      </w:r>
      <w:proofErr w:type="spellStart"/>
      <w:r w:rsidRPr="0E704447" w:rsidR="0E704447">
        <w:rPr>
          <w:rFonts w:ascii="Arial" w:hAnsi="Arial" w:cs="Arial"/>
          <w:color w:val="222222"/>
          <w:sz w:val="22"/>
          <w:szCs w:val="22"/>
        </w:rPr>
        <w:t>cryosectioned</w:t>
      </w:r>
      <w:proofErr w:type="spellEnd"/>
      <w:r w:rsidRPr="0E704447" w:rsidR="0E704447">
        <w:rPr>
          <w:rFonts w:ascii="Arial" w:hAnsi="Arial" w:cs="Arial"/>
          <w:color w:val="222222"/>
          <w:sz w:val="22"/>
          <w:szCs w:val="22"/>
        </w:rPr>
        <w:t xml:space="preserve"> and either directly imaged or incubated with primary antibodies specific to the fluorophore (</w:t>
      </w:r>
      <w:proofErr w:type="gramStart"/>
      <w:r w:rsidRPr="0E704447" w:rsidR="0E704447">
        <w:rPr>
          <w:rFonts w:ascii="Arial" w:hAnsi="Arial" w:cs="Arial"/>
          <w:color w:val="222222"/>
          <w:sz w:val="22"/>
          <w:szCs w:val="22"/>
        </w:rPr>
        <w:t>e.g.</w:t>
      </w:r>
      <w:proofErr w:type="gramEnd"/>
      <w:r w:rsidRPr="0E704447" w:rsidR="0E704447">
        <w:rPr>
          <w:rFonts w:ascii="Arial" w:hAnsi="Arial" w:cs="Arial"/>
          <w:color w:val="222222"/>
          <w:sz w:val="22"/>
          <w:szCs w:val="22"/>
        </w:rPr>
        <w:t xml:space="preserve"> RFP) and corresponding secondary antibodies before staining with DAPI/Hoechst and imaged at 10x magnification. Images are assessed for reporter activation potential across tissues.</w:t>
      </w:r>
    </w:p>
    <w:p w:rsidRPr="00287DEE" w:rsidR="00D47F9B" w:rsidP="7C5B6B72" w:rsidRDefault="00D47F9B" w14:paraId="028414F1" w14:textId="128196BE">
      <w:pPr>
        <w:pStyle w:val="Normal"/>
        <w:spacing w:line="480" w:lineRule="auto"/>
        <w:rPr>
          <w:rFonts w:ascii="Arial" w:hAnsi="Arial" w:eastAsia="Arial" w:cs="Arial"/>
          <w:color w:val="376FAA"/>
          <w:sz w:val="22"/>
          <w:szCs w:val="22"/>
          <w:u w:val="single"/>
        </w:rPr>
      </w:pPr>
      <w:r w:rsidRPr="7C5B6B72" w:rsidR="7C5B6B72">
        <w:rPr>
          <w:rFonts w:ascii="Arial" w:hAnsi="Arial" w:eastAsia="Arial" w:cs="Arial"/>
          <w:color w:val="376FAA"/>
          <w:sz w:val="22"/>
          <w:szCs w:val="22"/>
          <w:u w:val="single"/>
        </w:rPr>
        <w:t>Tag RFP and Katushka2S proteins are detected using rabbit anti-RFP polyclonal antibody (Invitrogen Cat # R10367)</w:t>
      </w:r>
      <w:r w:rsidRPr="7C5B6B72" w:rsidR="7C5B6B72">
        <w:rPr>
          <w:rFonts w:ascii="Arial" w:hAnsi="Arial" w:eastAsia="Arial" w:cs="Arial"/>
          <w:color w:val="376FAA"/>
          <w:sz w:val="22"/>
          <w:szCs w:val="22"/>
          <w:u w:val="single"/>
        </w:rPr>
        <w:t xml:space="preserve"> and corresponding secondary antibodies such as Cy3-Donkey anti-Rabbit (Jackson </w:t>
      </w:r>
      <w:proofErr w:type="spellStart"/>
      <w:r w:rsidRPr="7C5B6B72" w:rsidR="7C5B6B72">
        <w:rPr>
          <w:rFonts w:ascii="Arial" w:hAnsi="Arial" w:eastAsia="Arial" w:cs="Arial"/>
          <w:color w:val="376FAA"/>
          <w:sz w:val="22"/>
          <w:szCs w:val="22"/>
          <w:u w:val="single"/>
        </w:rPr>
        <w:t>ImmunoResearch</w:t>
      </w:r>
      <w:proofErr w:type="spellEnd"/>
      <w:r w:rsidRPr="7C5B6B72" w:rsidR="7C5B6B72">
        <w:rPr>
          <w:rFonts w:ascii="Arial" w:hAnsi="Arial" w:eastAsia="Arial" w:cs="Arial"/>
          <w:color w:val="376FAA"/>
          <w:sz w:val="22"/>
          <w:szCs w:val="22"/>
          <w:u w:val="single"/>
        </w:rPr>
        <w:t xml:space="preserve"> # 711-165-152).</w:t>
      </w:r>
    </w:p>
    <w:p w:rsidRPr="00287DEE" w:rsidR="00D47F9B" w:rsidP="7C5B6B72" w:rsidRDefault="00D47F9B" w14:paraId="7D26B872" w14:textId="3C0FF863">
      <w:pPr>
        <w:pStyle w:val="Normal"/>
        <w:spacing w:line="480" w:lineRule="auto"/>
        <w:rPr>
          <w:rFonts w:ascii="Times New Roman" w:hAnsi="Times New Roman" w:eastAsia="Times New Roman" w:cs="Times New Roman"/>
          <w:color w:val="222222"/>
          <w:sz w:val="24"/>
          <w:szCs w:val="24"/>
        </w:rPr>
      </w:pPr>
    </w:p>
    <w:p w:rsidRPr="00596949" w:rsidR="00D47F9B" w:rsidP="3B22B20E" w:rsidRDefault="00D47F9B" w14:paraId="3F07693C" w14:textId="77777777">
      <w:pPr>
        <w:spacing w:line="480" w:lineRule="auto"/>
        <w:rPr>
          <w:rFonts w:ascii="Arial" w:hAnsi="Arial" w:cs="Arial"/>
          <w:sz w:val="22"/>
          <w:szCs w:val="22"/>
        </w:rPr>
      </w:pPr>
      <w:r w:rsidRPr="3B22B20E">
        <w:rPr>
          <w:rFonts w:ascii="Arial" w:hAnsi="Arial" w:cs="Arial"/>
          <w:sz w:val="22"/>
          <w:szCs w:val="22"/>
        </w:rPr>
        <w:t xml:space="preserve">Methods </w:t>
      </w:r>
      <w:r w:rsidRPr="3B22B20E">
        <w:rPr>
          <w:rFonts w:ascii="Arial" w:hAnsi="Arial" w:cs="Arial"/>
          <w:sz w:val="22"/>
          <w:szCs w:val="22"/>
        </w:rPr>
        <w:t xml:space="preserve">were adapted from </w:t>
      </w:r>
      <w:r w:rsidRPr="3B22B20E">
        <w:rPr>
          <w:rFonts w:ascii="Arial" w:hAnsi="Arial" w:cs="Arial"/>
          <w:sz w:val="22"/>
          <w:szCs w:val="22"/>
        </w:rPr>
        <w:t>Modzelewski</w:t>
      </w:r>
      <w:r w:rsidRPr="3B22B20E">
        <w:rPr>
          <w:rFonts w:ascii="Arial" w:hAnsi="Arial" w:cs="Arial"/>
          <w:sz w:val="22"/>
          <w:szCs w:val="22"/>
        </w:rPr>
        <w:t xml:space="preserve"> et al. 2018, </w:t>
      </w:r>
      <w:r w:rsidRPr="3B22B20E">
        <w:rPr>
          <w:rFonts w:ascii="Arial" w:hAnsi="Arial" w:cs="Arial"/>
          <w:i w:val="1"/>
          <w:iCs w:val="1"/>
          <w:sz w:val="22"/>
          <w:szCs w:val="22"/>
        </w:rPr>
        <w:t>Nature Protocols</w:t>
      </w:r>
      <w:r w:rsidRPr="3B22B20E">
        <w:rPr>
          <w:rFonts w:ascii="Arial" w:hAnsi="Arial" w:cs="Arial"/>
          <w:sz w:val="22"/>
          <w:szCs w:val="22"/>
        </w:rPr>
        <w:t xml:space="preserve">  </w:t>
      </w:r>
      <w:r w:rsidRPr="3B22B20E">
        <w:rPr>
          <w:rFonts w:ascii="Arial" w:hAnsi="Arial" w:cs="Arial"/>
          <w:sz w:val="22"/>
          <w:szCs w:val="22"/>
        </w:rPr>
        <w:t>PMID</w:t>
      </w:r>
      <w:r w:rsidRPr="3B22B20E">
        <w:rPr>
          <w:rFonts w:ascii="Arial" w:hAnsi="Arial" w:cs="Arial"/>
          <w:sz w:val="22"/>
          <w:szCs w:val="22"/>
        </w:rPr>
        <w:t xml:space="preserve">: </w:t>
      </w:r>
      <w:hyperlink w:history="1" r:id="R7bececbf8f354988">
        <w:r w:rsidRPr="00596949">
          <w:rPr>
            <w:rFonts w:ascii="Helvetica" w:hAnsi="Helvetica"/>
            <w:color w:val="376FAA"/>
            <w:u w:val="single"/>
            <w:shd w:val="clear" w:color="auto" w:fill="FFFFFF"/>
          </w:rPr>
          <w:t>29748649</w:t>
        </w:r>
      </w:hyperlink>
    </w:p>
    <w:p w:rsidR="3B22B20E" w:rsidP="3B22B20E" w:rsidRDefault="3B22B20E" w14:paraId="040D7255" w14:textId="4F09FD35">
      <w:pPr>
        <w:pStyle w:val="Normal"/>
        <w:spacing w:line="480" w:lineRule="auto"/>
        <w:rPr>
          <w:rFonts w:ascii="Times New Roman" w:hAnsi="Times New Roman" w:eastAsia="Times New Roman" w:cs="Times New Roman"/>
          <w:color w:val="376FAA"/>
          <w:sz w:val="24"/>
          <w:szCs w:val="24"/>
          <w:u w:val="single"/>
        </w:rPr>
      </w:pPr>
    </w:p>
    <w:p w:rsidR="00527223" w:rsidRDefault="00527223" w14:paraId="70728056" w14:textId="77777777"/>
    <w:sectPr w:rsidR="0052722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KVYAzazjEgBhNf" int2:id="wTjDk6nJ">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9B"/>
    <w:rsid w:val="00527223"/>
    <w:rsid w:val="007B1946"/>
    <w:rsid w:val="008E2C96"/>
    <w:rsid w:val="00C30F73"/>
    <w:rsid w:val="00D47F9B"/>
    <w:rsid w:val="0E704447"/>
    <w:rsid w:val="3B22B20E"/>
    <w:rsid w:val="7C5B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2187"/>
  <w15:chartTrackingRefBased/>
  <w15:docId w15:val="{E4439F61-970B-4BBC-B092-1514F3FB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7F9B"/>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hyperlink" Target="https://pubmed.ncbi.nlm.nih.gov/29748649" TargetMode="External" Id="R7bececbf8f354988" /><Relationship Type="http://schemas.microsoft.com/office/2020/10/relationships/intelligence" Target="intelligence2.xml" Id="Rb0c73d78238b42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B0B740ECD7F418164696BD5D45C61" ma:contentTypeVersion="16" ma:contentTypeDescription="Create a new document." ma:contentTypeScope="" ma:versionID="a5c5d7a47d49c3a9e8877a8f98704af3">
  <xsd:schema xmlns:xsd="http://www.w3.org/2001/XMLSchema" xmlns:xs="http://www.w3.org/2001/XMLSchema" xmlns:p="http://schemas.microsoft.com/office/2006/metadata/properties" xmlns:ns2="1ede3b14-c407-4f78-a408-31a7f74c0476" xmlns:ns3="6d9280eb-d935-48c4-a9fd-fd18a0df2635" targetNamespace="http://schemas.microsoft.com/office/2006/metadata/properties" ma:root="true" ma:fieldsID="010a9214fda009d5579bf84dd4bef4df" ns2:_="" ns3:_="">
    <xsd:import namespace="1ede3b14-c407-4f78-a408-31a7f74c0476"/>
    <xsd:import namespace="6d9280eb-d935-48c4-a9fd-fd18a0df2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e3b14-c407-4f78-a408-31a7f74c0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ff210b-1a75-4f95-bf42-e73e2711a7c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280eb-d935-48c4-a9fd-fd18a0df26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c67233-d297-4e01-a813-c986068440d3}" ma:internalName="TaxCatchAll" ma:showField="CatchAllData" ma:web="6d9280eb-d935-48c4-a9fd-fd18a0df2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de3b14-c407-4f78-a408-31a7f74c0476">
      <Terms xmlns="http://schemas.microsoft.com/office/infopath/2007/PartnerControls"/>
    </lcf76f155ced4ddcb4097134ff3c332f>
    <TaxCatchAll xmlns="6d9280eb-d935-48c4-a9fd-fd18a0df2635" xsi:nil="true"/>
  </documentManagement>
</p:properties>
</file>

<file path=customXml/itemProps1.xml><?xml version="1.0" encoding="utf-8"?>
<ds:datastoreItem xmlns:ds="http://schemas.openxmlformats.org/officeDocument/2006/customXml" ds:itemID="{242C162A-EA23-4C85-9F6F-191E5F1B6966}"/>
</file>

<file path=customXml/itemProps2.xml><?xml version="1.0" encoding="utf-8"?>
<ds:datastoreItem xmlns:ds="http://schemas.openxmlformats.org/officeDocument/2006/customXml" ds:itemID="{3BE6F2D1-3EBF-456C-9978-4FACC4210ADE}">
  <ds:schemaRefs>
    <ds:schemaRef ds:uri="http://schemas.microsoft.com/sharepoint/v3/contenttype/forms"/>
  </ds:schemaRefs>
</ds:datastoreItem>
</file>

<file path=customXml/itemProps3.xml><?xml version="1.0" encoding="utf-8"?>
<ds:datastoreItem xmlns:ds="http://schemas.openxmlformats.org/officeDocument/2006/customXml" ds:itemID="{7C1644A5-B46E-4713-8227-EFC169A84B5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Snow</dc:creator>
  <cp:keywords/>
  <dc:description/>
  <cp:lastModifiedBy>Kathy Snow</cp:lastModifiedBy>
  <cp:revision>5</cp:revision>
  <dcterms:created xsi:type="dcterms:W3CDTF">2022-10-07T15:46:00Z</dcterms:created>
  <dcterms:modified xsi:type="dcterms:W3CDTF">2022-10-19T14:16:28Z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0x010100176B0B740ECD7F418164696BD5D45C61</vt:lpwstr>
  </property>
</Properties>
</file>